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3A0" w:rsidRPr="002013A0" w:rsidRDefault="002013A0" w:rsidP="002013A0">
      <w:pPr>
        <w:spacing w:line="480" w:lineRule="auto"/>
        <w:jc w:val="both"/>
        <w:rPr>
          <w:rFonts w:ascii="Times New Roman" w:hAnsi="Times New Roman" w:cs="Times New Roman"/>
          <w:sz w:val="24"/>
          <w:szCs w:val="24"/>
        </w:rPr>
      </w:pPr>
      <w:bookmarkStart w:id="0" w:name="_GoBack"/>
      <w:bookmarkEnd w:id="0"/>
    </w:p>
    <w:p w:rsidR="002013A0" w:rsidRPr="002013A0" w:rsidRDefault="002013A0" w:rsidP="002013A0">
      <w:pPr>
        <w:spacing w:line="480" w:lineRule="auto"/>
        <w:jc w:val="both"/>
        <w:rPr>
          <w:rFonts w:ascii="Times New Roman" w:hAnsi="Times New Roman" w:cs="Times New Roman"/>
          <w:sz w:val="24"/>
          <w:szCs w:val="24"/>
        </w:rPr>
      </w:pPr>
    </w:p>
    <w:p w:rsidR="002013A0" w:rsidRPr="002013A0" w:rsidRDefault="002013A0" w:rsidP="002013A0">
      <w:pPr>
        <w:spacing w:line="480" w:lineRule="auto"/>
        <w:jc w:val="both"/>
        <w:rPr>
          <w:rFonts w:ascii="Times New Roman" w:hAnsi="Times New Roman" w:cs="Times New Roman"/>
          <w:sz w:val="24"/>
          <w:szCs w:val="24"/>
        </w:rPr>
      </w:pPr>
    </w:p>
    <w:p w:rsidR="002013A0" w:rsidRPr="002013A0" w:rsidRDefault="002013A0" w:rsidP="002013A0">
      <w:pPr>
        <w:spacing w:line="480" w:lineRule="auto"/>
        <w:jc w:val="both"/>
        <w:rPr>
          <w:rFonts w:ascii="Times New Roman" w:hAnsi="Times New Roman" w:cs="Times New Roman"/>
          <w:sz w:val="24"/>
          <w:szCs w:val="24"/>
        </w:rPr>
      </w:pPr>
    </w:p>
    <w:p w:rsidR="002013A0" w:rsidRPr="002013A0" w:rsidRDefault="002013A0" w:rsidP="002013A0">
      <w:pPr>
        <w:spacing w:line="480" w:lineRule="auto"/>
        <w:jc w:val="both"/>
        <w:rPr>
          <w:rFonts w:ascii="Times New Roman" w:hAnsi="Times New Roman" w:cs="Times New Roman"/>
          <w:sz w:val="24"/>
          <w:szCs w:val="24"/>
        </w:rPr>
      </w:pPr>
    </w:p>
    <w:p w:rsidR="002013A0" w:rsidRPr="002013A0" w:rsidRDefault="002013A0" w:rsidP="002013A0">
      <w:pPr>
        <w:spacing w:line="480" w:lineRule="auto"/>
        <w:jc w:val="center"/>
        <w:rPr>
          <w:rFonts w:ascii="Times New Roman" w:hAnsi="Times New Roman" w:cs="Times New Roman"/>
          <w:sz w:val="24"/>
          <w:szCs w:val="24"/>
        </w:rPr>
      </w:pPr>
      <w:r w:rsidRPr="002013A0">
        <w:rPr>
          <w:rFonts w:ascii="Times New Roman" w:hAnsi="Times New Roman" w:cs="Times New Roman"/>
          <w:sz w:val="24"/>
          <w:szCs w:val="24"/>
        </w:rPr>
        <w:t>Gender Dysphoria</w:t>
      </w:r>
    </w:p>
    <w:p w:rsidR="002013A0" w:rsidRPr="002013A0" w:rsidRDefault="002013A0" w:rsidP="002013A0">
      <w:pPr>
        <w:spacing w:line="480" w:lineRule="auto"/>
        <w:jc w:val="center"/>
        <w:rPr>
          <w:rFonts w:ascii="Times New Roman" w:hAnsi="Times New Roman" w:cs="Times New Roman"/>
          <w:sz w:val="24"/>
          <w:szCs w:val="24"/>
        </w:rPr>
      </w:pPr>
      <w:r w:rsidRPr="002013A0">
        <w:rPr>
          <w:rFonts w:ascii="Times New Roman" w:hAnsi="Times New Roman" w:cs="Times New Roman"/>
          <w:sz w:val="24"/>
          <w:szCs w:val="24"/>
        </w:rPr>
        <w:t>Student’s Name:</w:t>
      </w:r>
    </w:p>
    <w:p w:rsidR="002013A0" w:rsidRPr="002013A0" w:rsidRDefault="002013A0" w:rsidP="002013A0">
      <w:pPr>
        <w:spacing w:line="480" w:lineRule="auto"/>
        <w:jc w:val="center"/>
        <w:rPr>
          <w:rFonts w:ascii="Times New Roman" w:hAnsi="Times New Roman" w:cs="Times New Roman"/>
          <w:sz w:val="24"/>
          <w:szCs w:val="24"/>
        </w:rPr>
      </w:pPr>
      <w:r w:rsidRPr="002013A0">
        <w:rPr>
          <w:rFonts w:ascii="Times New Roman" w:hAnsi="Times New Roman" w:cs="Times New Roman"/>
          <w:sz w:val="24"/>
          <w:szCs w:val="24"/>
        </w:rPr>
        <w:t>University’s Affiliation:</w:t>
      </w:r>
    </w:p>
    <w:p w:rsidR="002013A0" w:rsidRPr="002013A0" w:rsidRDefault="002013A0" w:rsidP="002013A0">
      <w:pPr>
        <w:spacing w:line="480" w:lineRule="auto"/>
        <w:jc w:val="both"/>
        <w:rPr>
          <w:rFonts w:ascii="Times New Roman" w:hAnsi="Times New Roman" w:cs="Times New Roman"/>
          <w:sz w:val="24"/>
          <w:szCs w:val="24"/>
        </w:rPr>
      </w:pPr>
    </w:p>
    <w:p w:rsidR="002013A0" w:rsidRPr="002013A0" w:rsidRDefault="002013A0" w:rsidP="002013A0">
      <w:pPr>
        <w:spacing w:line="480" w:lineRule="auto"/>
        <w:jc w:val="both"/>
        <w:rPr>
          <w:rFonts w:ascii="Times New Roman" w:hAnsi="Times New Roman" w:cs="Times New Roman"/>
          <w:sz w:val="24"/>
          <w:szCs w:val="24"/>
        </w:rPr>
      </w:pPr>
    </w:p>
    <w:p w:rsidR="002013A0" w:rsidRPr="002013A0" w:rsidRDefault="002013A0" w:rsidP="002013A0">
      <w:pPr>
        <w:spacing w:line="480" w:lineRule="auto"/>
        <w:jc w:val="both"/>
        <w:rPr>
          <w:rFonts w:ascii="Times New Roman" w:hAnsi="Times New Roman" w:cs="Times New Roman"/>
          <w:sz w:val="24"/>
          <w:szCs w:val="24"/>
        </w:rPr>
      </w:pPr>
    </w:p>
    <w:p w:rsidR="002013A0" w:rsidRPr="002013A0" w:rsidRDefault="002013A0" w:rsidP="002013A0">
      <w:pPr>
        <w:spacing w:line="480" w:lineRule="auto"/>
        <w:jc w:val="both"/>
        <w:rPr>
          <w:rFonts w:ascii="Times New Roman" w:hAnsi="Times New Roman" w:cs="Times New Roman"/>
          <w:sz w:val="24"/>
          <w:szCs w:val="24"/>
        </w:rPr>
      </w:pPr>
    </w:p>
    <w:p w:rsidR="002013A0" w:rsidRPr="002013A0" w:rsidRDefault="002013A0" w:rsidP="002013A0">
      <w:pPr>
        <w:spacing w:line="480" w:lineRule="auto"/>
        <w:jc w:val="both"/>
        <w:rPr>
          <w:rFonts w:ascii="Times New Roman" w:hAnsi="Times New Roman" w:cs="Times New Roman"/>
          <w:sz w:val="24"/>
          <w:szCs w:val="24"/>
        </w:rPr>
      </w:pPr>
    </w:p>
    <w:p w:rsidR="002013A0" w:rsidRPr="002013A0" w:rsidRDefault="002013A0" w:rsidP="002013A0">
      <w:pPr>
        <w:spacing w:line="480" w:lineRule="auto"/>
        <w:jc w:val="both"/>
        <w:rPr>
          <w:rFonts w:ascii="Times New Roman" w:hAnsi="Times New Roman" w:cs="Times New Roman"/>
          <w:sz w:val="24"/>
          <w:szCs w:val="24"/>
        </w:rPr>
      </w:pPr>
    </w:p>
    <w:p w:rsidR="002013A0" w:rsidRPr="002013A0" w:rsidRDefault="002013A0" w:rsidP="002013A0">
      <w:pPr>
        <w:spacing w:line="480" w:lineRule="auto"/>
        <w:jc w:val="both"/>
        <w:rPr>
          <w:rFonts w:ascii="Times New Roman" w:hAnsi="Times New Roman" w:cs="Times New Roman"/>
          <w:sz w:val="24"/>
          <w:szCs w:val="24"/>
        </w:rPr>
      </w:pPr>
    </w:p>
    <w:p w:rsidR="002013A0" w:rsidRPr="002013A0" w:rsidRDefault="002013A0" w:rsidP="002013A0">
      <w:pPr>
        <w:spacing w:line="480" w:lineRule="auto"/>
        <w:jc w:val="both"/>
        <w:rPr>
          <w:rFonts w:ascii="Times New Roman" w:hAnsi="Times New Roman" w:cs="Times New Roman"/>
          <w:sz w:val="24"/>
          <w:szCs w:val="24"/>
        </w:rPr>
      </w:pPr>
    </w:p>
    <w:p w:rsidR="002013A0" w:rsidRPr="002013A0" w:rsidRDefault="002013A0" w:rsidP="002013A0">
      <w:pPr>
        <w:spacing w:line="480" w:lineRule="auto"/>
        <w:jc w:val="both"/>
        <w:rPr>
          <w:rFonts w:ascii="Times New Roman" w:hAnsi="Times New Roman" w:cs="Times New Roman"/>
          <w:sz w:val="24"/>
          <w:szCs w:val="24"/>
        </w:rPr>
      </w:pPr>
    </w:p>
    <w:p w:rsidR="002013A0" w:rsidRPr="002013A0" w:rsidRDefault="002013A0" w:rsidP="002013A0">
      <w:pPr>
        <w:spacing w:line="480" w:lineRule="auto"/>
        <w:jc w:val="center"/>
        <w:rPr>
          <w:rFonts w:ascii="Times New Roman" w:hAnsi="Times New Roman" w:cs="Times New Roman"/>
          <w:sz w:val="24"/>
          <w:szCs w:val="24"/>
        </w:rPr>
      </w:pPr>
      <w:r w:rsidRPr="002013A0">
        <w:rPr>
          <w:rFonts w:ascii="Times New Roman" w:hAnsi="Times New Roman" w:cs="Times New Roman"/>
          <w:sz w:val="24"/>
          <w:szCs w:val="24"/>
        </w:rPr>
        <w:lastRenderedPageBreak/>
        <w:t>GENDER DYSPHORIA</w:t>
      </w:r>
    </w:p>
    <w:p w:rsidR="002013A0" w:rsidRPr="002013A0" w:rsidRDefault="002013A0" w:rsidP="002013A0">
      <w:pPr>
        <w:spacing w:after="0" w:line="480" w:lineRule="auto"/>
        <w:ind w:firstLine="720"/>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Gender dysphoria refers to a condition in which a person experiences conflict between his or her physical gender and the one he or she identifies with. Usually, people with gender dysphoria do not live a comfortable life because they encounter internal and external conflict. For the internal or self- conflict, people gender disorder is uncomfortable with their body, especially during puberty (Lev, 2016). On the other side, they fear to be prejudiced by the community within which they live. They do not perform the gender roles of the gender they are assigned after birth but feel attracted to identify with those of the opposite gender. This paper will explore gender dysphoria in terms of symptoms, prevalence, diagnosis, and treatment. Gender dysphoria results in stress and other mental health issues.</w:t>
      </w:r>
    </w:p>
    <w:p w:rsidR="002013A0" w:rsidRPr="002013A0" w:rsidRDefault="002013A0" w:rsidP="002013A0">
      <w:pPr>
        <w:spacing w:after="0" w:line="480" w:lineRule="auto"/>
        <w:jc w:val="center"/>
        <w:rPr>
          <w:rFonts w:ascii="Times New Roman" w:eastAsia="Times New Roman" w:hAnsi="Times New Roman" w:cs="Times New Roman"/>
          <w:b/>
          <w:color w:val="1C1E29"/>
          <w:sz w:val="24"/>
          <w:szCs w:val="24"/>
          <w:lang w:eastAsia="en-CA"/>
        </w:rPr>
      </w:pPr>
      <w:r w:rsidRPr="002013A0">
        <w:rPr>
          <w:rFonts w:ascii="Times New Roman" w:eastAsia="Times New Roman" w:hAnsi="Times New Roman" w:cs="Times New Roman"/>
          <w:b/>
          <w:color w:val="1C1E29"/>
          <w:sz w:val="24"/>
          <w:szCs w:val="24"/>
          <w:lang w:eastAsia="en-CA"/>
        </w:rPr>
        <w:t xml:space="preserve">Clinical </w:t>
      </w:r>
      <w:r w:rsidR="008552E1" w:rsidRPr="002013A0">
        <w:rPr>
          <w:rFonts w:ascii="Times New Roman" w:eastAsia="Times New Roman" w:hAnsi="Times New Roman" w:cs="Times New Roman"/>
          <w:b/>
          <w:color w:val="1C1E29"/>
          <w:sz w:val="24"/>
          <w:szCs w:val="24"/>
          <w:lang w:eastAsia="en-CA"/>
        </w:rPr>
        <w:t xml:space="preserve">Presentation of </w:t>
      </w:r>
      <w:r w:rsidRPr="002013A0">
        <w:rPr>
          <w:rFonts w:ascii="Times New Roman" w:eastAsia="Times New Roman" w:hAnsi="Times New Roman" w:cs="Times New Roman"/>
          <w:b/>
          <w:color w:val="1C1E29"/>
          <w:sz w:val="24"/>
          <w:szCs w:val="24"/>
          <w:lang w:eastAsia="en-CA"/>
        </w:rPr>
        <w:t>Gender Dysphoria</w:t>
      </w:r>
    </w:p>
    <w:p w:rsidR="002013A0" w:rsidRPr="002013A0" w:rsidRDefault="002013A0" w:rsidP="002013A0">
      <w:pPr>
        <w:spacing w:after="0" w:line="480" w:lineRule="auto"/>
        <w:ind w:firstLine="360"/>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Gender Dysphoria people experience stress and depression because of the gender conflict they experience within them. Usually, they think and feel differently from the gender they are assigned at birth. When medical practitioners diagnose gender dysphoria, they usually consider the symptoms/ clinical presentation of the disorder (F. Beek, Cohen-Kettenis, &amp; Kreukels, (2016). Symptoms for gender dysphoria vary from one person to another. Gender differences experienced by people suffering from gender dysphoria result in distress and problems functioning, which last for six or more months (Zucker, Lawrence &amp; Kreukels, 2016). The symptoms portrayed by people with gender dysphoria include:</w:t>
      </w:r>
    </w:p>
    <w:p w:rsidR="002013A0" w:rsidRPr="002013A0" w:rsidRDefault="002013A0" w:rsidP="002013A0">
      <w:pPr>
        <w:numPr>
          <w:ilvl w:val="0"/>
          <w:numId w:val="9"/>
        </w:numPr>
        <w:spacing w:after="0" w:line="480" w:lineRule="auto"/>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The conflict between expressed gender (the gender a person identifies with) and the primary or secondary sex characteristics.</w:t>
      </w:r>
    </w:p>
    <w:p w:rsidR="002013A0" w:rsidRPr="002013A0" w:rsidRDefault="002013A0" w:rsidP="002013A0">
      <w:pPr>
        <w:numPr>
          <w:ilvl w:val="0"/>
          <w:numId w:val="9"/>
        </w:numPr>
        <w:spacing w:after="0" w:line="480" w:lineRule="auto"/>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The desire to get rid of secondary sex characteristics</w:t>
      </w:r>
    </w:p>
    <w:p w:rsidR="002013A0" w:rsidRPr="002013A0" w:rsidRDefault="002013A0" w:rsidP="002013A0">
      <w:pPr>
        <w:numPr>
          <w:ilvl w:val="0"/>
          <w:numId w:val="9"/>
        </w:numPr>
        <w:spacing w:after="0" w:line="480" w:lineRule="auto"/>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The desire for sex characteristics of the opposite gender</w:t>
      </w:r>
    </w:p>
    <w:p w:rsidR="002013A0" w:rsidRPr="002013A0" w:rsidRDefault="002013A0" w:rsidP="002013A0">
      <w:pPr>
        <w:numPr>
          <w:ilvl w:val="0"/>
          <w:numId w:val="9"/>
        </w:numPr>
        <w:spacing w:after="0" w:line="480" w:lineRule="auto"/>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lastRenderedPageBreak/>
        <w:t>Desire to belong to the opposite gender (Zucker, Lawrence &amp; Kreukels, 2016)</w:t>
      </w:r>
    </w:p>
    <w:p w:rsidR="002013A0" w:rsidRPr="002013A0" w:rsidRDefault="002013A0" w:rsidP="002013A0">
      <w:pPr>
        <w:numPr>
          <w:ilvl w:val="0"/>
          <w:numId w:val="9"/>
        </w:numPr>
        <w:spacing w:after="0" w:line="480" w:lineRule="auto"/>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Desire to get the treatment the other gender gets.</w:t>
      </w:r>
    </w:p>
    <w:p w:rsidR="002013A0" w:rsidRPr="002013A0" w:rsidRDefault="002013A0" w:rsidP="002013A0">
      <w:pPr>
        <w:numPr>
          <w:ilvl w:val="0"/>
          <w:numId w:val="9"/>
        </w:numPr>
        <w:spacing w:after="0" w:line="480" w:lineRule="auto"/>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The conviction that a person possesses the feeling and sexual reactions of the opposite gender.</w:t>
      </w:r>
    </w:p>
    <w:p w:rsidR="002013A0" w:rsidRPr="002013A0" w:rsidRDefault="002013A0" w:rsidP="002013A0">
      <w:pPr>
        <w:spacing w:after="0" w:line="480" w:lineRule="auto"/>
        <w:ind w:firstLine="360"/>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The above-mentioned symptoms manifest in the lives of adults experiencing gender dysphoria. However, only one or two of the symptoms show in a person (Ristori, &amp; Steensma, 2016). Children that develop gender dysphoria must show at least six of the following symptoms:</w:t>
      </w:r>
    </w:p>
    <w:p w:rsidR="002013A0" w:rsidRPr="002013A0" w:rsidRDefault="002013A0" w:rsidP="002013A0">
      <w:pPr>
        <w:numPr>
          <w:ilvl w:val="0"/>
          <w:numId w:val="10"/>
        </w:numPr>
        <w:spacing w:after="0" w:line="480" w:lineRule="auto"/>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an insistence that one belongs to the opposite gender or desire to be of the opposite gender</w:t>
      </w:r>
    </w:p>
    <w:p w:rsidR="002013A0" w:rsidRPr="002013A0" w:rsidRDefault="002013A0" w:rsidP="002013A0">
      <w:pPr>
        <w:numPr>
          <w:ilvl w:val="0"/>
          <w:numId w:val="10"/>
        </w:numPr>
        <w:spacing w:after="0" w:line="480" w:lineRule="auto"/>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preference for the opposite gender’s typical mode of dressing </w:t>
      </w:r>
    </w:p>
    <w:p w:rsidR="002013A0" w:rsidRPr="002013A0" w:rsidRDefault="002013A0" w:rsidP="002013A0">
      <w:pPr>
        <w:numPr>
          <w:ilvl w:val="0"/>
          <w:numId w:val="10"/>
        </w:numPr>
        <w:spacing w:after="0" w:line="480" w:lineRule="auto"/>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Strong preference for the roles played by the opposite gender. This is evident when children engage in fantasy plays (Ristori, &amp; Steensma, 2016)</w:t>
      </w:r>
    </w:p>
    <w:p w:rsidR="002013A0" w:rsidRPr="002013A0" w:rsidRDefault="002013A0" w:rsidP="002013A0">
      <w:pPr>
        <w:numPr>
          <w:ilvl w:val="0"/>
          <w:numId w:val="10"/>
        </w:numPr>
        <w:spacing w:after="0" w:line="480" w:lineRule="auto"/>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Strong desire for activities, toys, and games embraced by the opposite gender</w:t>
      </w:r>
    </w:p>
    <w:p w:rsidR="002013A0" w:rsidRPr="002013A0" w:rsidRDefault="002013A0" w:rsidP="002013A0">
      <w:pPr>
        <w:numPr>
          <w:ilvl w:val="0"/>
          <w:numId w:val="10"/>
        </w:numPr>
        <w:spacing w:after="0" w:line="480" w:lineRule="auto"/>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Dislike of self sexual anatomy</w:t>
      </w:r>
    </w:p>
    <w:p w:rsidR="002013A0" w:rsidRPr="002013A0" w:rsidRDefault="002013A0" w:rsidP="002013A0">
      <w:pPr>
        <w:numPr>
          <w:ilvl w:val="0"/>
          <w:numId w:val="10"/>
        </w:numPr>
        <w:spacing w:after="0" w:line="480" w:lineRule="auto"/>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The desire for the opposite gender’s physical sex characteristics </w:t>
      </w:r>
    </w:p>
    <w:p w:rsidR="002013A0" w:rsidRPr="002013A0" w:rsidRDefault="002013A0" w:rsidP="002013A0">
      <w:pPr>
        <w:spacing w:after="0" w:line="480" w:lineRule="auto"/>
        <w:ind w:firstLine="360"/>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Science has proved that children may develop transgender desires and characteristics between ages 2 and 4. During this period all children start showing gendered interests and behaviors and therefore, a person may develop gender dysphoria as early as this developmental period (Ristori, &amp; Steensma, 2016). Interestingly, gender-atypical behaviors may develop in children and cease as they approach the adolescent period. Therefore, people who experience gender conflict in childhood may not transit with it in adolescence and adulthood. However, a person may develop gender dysphoria in his or her puberty or later in life. Research affirms that children that portrayed a strong desire to possess sex characteristics for the opposite gender may easily develop the condition later in their life either in puberty or adulthood).</w:t>
      </w:r>
    </w:p>
    <w:p w:rsidR="002013A0" w:rsidRPr="002013A0" w:rsidRDefault="002013A0" w:rsidP="004F35C1">
      <w:pPr>
        <w:spacing w:after="0" w:line="480" w:lineRule="auto"/>
        <w:jc w:val="center"/>
        <w:rPr>
          <w:rFonts w:ascii="Times New Roman" w:eastAsia="Times New Roman" w:hAnsi="Times New Roman" w:cs="Times New Roman"/>
          <w:b/>
          <w:color w:val="1C1E29"/>
          <w:sz w:val="24"/>
          <w:szCs w:val="24"/>
          <w:lang w:eastAsia="en-CA"/>
        </w:rPr>
      </w:pPr>
      <w:r w:rsidRPr="002013A0">
        <w:rPr>
          <w:rFonts w:ascii="Times New Roman" w:eastAsia="Times New Roman" w:hAnsi="Times New Roman" w:cs="Times New Roman"/>
          <w:b/>
          <w:color w:val="1C1E29"/>
          <w:sz w:val="24"/>
          <w:szCs w:val="24"/>
          <w:lang w:eastAsia="en-CA"/>
        </w:rPr>
        <w:lastRenderedPageBreak/>
        <w:t xml:space="preserve">Diagnostic </w:t>
      </w:r>
      <w:r w:rsidR="008552E1" w:rsidRPr="002013A0">
        <w:rPr>
          <w:rFonts w:ascii="Times New Roman" w:eastAsia="Times New Roman" w:hAnsi="Times New Roman" w:cs="Times New Roman"/>
          <w:b/>
          <w:color w:val="1C1E29"/>
          <w:sz w:val="24"/>
          <w:szCs w:val="24"/>
          <w:lang w:eastAsia="en-CA"/>
        </w:rPr>
        <w:t xml:space="preserve">Criteria from the </w:t>
      </w:r>
      <w:r w:rsidRPr="002013A0">
        <w:rPr>
          <w:rFonts w:ascii="Times New Roman" w:eastAsia="Times New Roman" w:hAnsi="Times New Roman" w:cs="Times New Roman"/>
          <w:b/>
          <w:color w:val="1C1E29"/>
          <w:sz w:val="24"/>
          <w:szCs w:val="24"/>
          <w:lang w:eastAsia="en-CA"/>
        </w:rPr>
        <w:t>DSM</w:t>
      </w:r>
      <w:r w:rsidR="008552E1" w:rsidRPr="002013A0">
        <w:rPr>
          <w:rFonts w:ascii="Times New Roman" w:eastAsia="Times New Roman" w:hAnsi="Times New Roman" w:cs="Times New Roman"/>
          <w:b/>
          <w:color w:val="1C1E29"/>
          <w:sz w:val="24"/>
          <w:szCs w:val="24"/>
          <w:lang w:eastAsia="en-CA"/>
        </w:rPr>
        <w:t>- 5</w:t>
      </w:r>
    </w:p>
    <w:p w:rsidR="002013A0" w:rsidRPr="002013A0" w:rsidRDefault="002013A0" w:rsidP="004F35C1">
      <w:pPr>
        <w:spacing w:after="0" w:line="480" w:lineRule="auto"/>
        <w:ind w:firstLine="720"/>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According to the DSM- 5, people who qualify for gender dysphoria diagnosis must symptoms for the condition for six or more months. In children, symptoms of gender dysphoria must be presented physically and verbally (Zucker, 2015). DSM- 5 points out that for a person to receive a diagnosis, the condition must result in clinically significant distress. if not so, the condition must cause social or occupational impairment. It suffices to remark that not all transgendered people suffer gender conflict. However, some controversies exist among clinicians that pertain to the importance of diagnosis of gender dysphoria. Advocates for transgender health assert that psychiatric diagnosis is fundamental for people with gender dysphoria. The reason is that the diagnosis helps the victims to recover from the adverse effects of the condition (Zucker, 2015). Also, it facilitates the creation of awareness for transgender health among the community members suffering from the condition. If the community appreciates the diagnosis of gender dysphoria, then there will be health insurance that caters for the treatment of people with gender dysphoria. Initially, the World Health Organization (WHO), classified transgendered people as mentally ill. However, in its 11th ICD (International Classification of Diseases) catalog named gender incongruence, the organization moved out gender dysphoria from the list of health conditions termed as mental disorders to sexual health disorders.</w:t>
      </w:r>
    </w:p>
    <w:p w:rsidR="002013A0" w:rsidRPr="002013A0" w:rsidRDefault="002013A0" w:rsidP="004F35C1">
      <w:pPr>
        <w:spacing w:after="0" w:line="480" w:lineRule="auto"/>
        <w:ind w:firstLine="720"/>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 xml:space="preserve">The modern treatment for people with gender dysphoria is taking a new look. Organizations that advocate for transgender health request medical organizations like the World Professional Association for Transgender Heath’s Standards of Care (WPATH- SOC) to be flexible in the meeting of medical care for transgender, transsexual and gender non- conforming persons. WPATH- SOC holds that there is a need for the medical society to have a common guideline for the treatment of gender dysphoria. The organization asserts that people suffering </w:t>
      </w:r>
      <w:r w:rsidRPr="002013A0">
        <w:rPr>
          <w:rFonts w:ascii="Times New Roman" w:eastAsia="Times New Roman" w:hAnsi="Times New Roman" w:cs="Times New Roman"/>
          <w:color w:val="1C1E29"/>
          <w:sz w:val="24"/>
          <w:szCs w:val="24"/>
          <w:lang w:eastAsia="en-CA"/>
        </w:rPr>
        <w:lastRenderedPageBreak/>
        <w:t>from gender dysphoria should undergo hormone therapy or surgical treatment depending on their needs. The treatment includes changes that pertain to gender role and expression, sex-change surgery, hormone therapy, and psychotherapy (Zucker, 2015). A person may want to change partly or fully to life in the desired gender expression or role. Psychotherapy treatment may target an individual, group, family or couple. Psychological intervention on individual gender dysphoria is more effective that group psychotherapy. In group therapy, one approach may not benefits all people since not all people experience the same gender dysphoria symptoms. However, psychological intervention done on the couple, group and family is helpful in the creation of a supportive environment. </w:t>
      </w:r>
    </w:p>
    <w:p w:rsidR="002013A0" w:rsidRPr="002013A0" w:rsidRDefault="002013A0" w:rsidP="004F35C1">
      <w:pPr>
        <w:spacing w:after="0" w:line="480" w:lineRule="auto"/>
        <w:ind w:firstLine="720"/>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Some people with gender dysphoria may request for hormone therapy to end the conflict they experience between the natal and desired gender. The hormones include progestational compounds, luteinizing hormone-releasing hormone agonists, cyproterone, spironolactone, Ethinyl estradiol, flutamide, testosterone cypionate and conjugated estrogen (Mazur, 2005). The administration of the hormone depends on the needs of each particular patient. If a person wants to retain his or her physical/ natal gender, the hormone that lacks in his or her body is supplemented so that he or she can accept the particular natal gender. For people that strongly desire the opposite gender roles and sex characteristics, sexual reassignment surgery (SRS) may be applied to them during treatment.</w:t>
      </w:r>
    </w:p>
    <w:p w:rsidR="002013A0" w:rsidRPr="002013A0" w:rsidRDefault="002013A0" w:rsidP="004F35C1">
      <w:pPr>
        <w:spacing w:after="0" w:line="480" w:lineRule="auto"/>
        <w:jc w:val="center"/>
        <w:rPr>
          <w:rFonts w:ascii="Times New Roman" w:eastAsia="Times New Roman" w:hAnsi="Times New Roman" w:cs="Times New Roman"/>
          <w:b/>
          <w:color w:val="1C1E29"/>
          <w:sz w:val="24"/>
          <w:szCs w:val="24"/>
          <w:lang w:eastAsia="en-CA"/>
        </w:rPr>
      </w:pPr>
      <w:r w:rsidRPr="002013A0">
        <w:rPr>
          <w:rFonts w:ascii="Times New Roman" w:eastAsia="Times New Roman" w:hAnsi="Times New Roman" w:cs="Times New Roman"/>
          <w:b/>
          <w:color w:val="1C1E29"/>
          <w:sz w:val="24"/>
          <w:szCs w:val="24"/>
          <w:lang w:eastAsia="en-CA"/>
        </w:rPr>
        <w:t xml:space="preserve">Prevalence </w:t>
      </w:r>
      <w:r w:rsidR="008552E1" w:rsidRPr="002013A0">
        <w:rPr>
          <w:rFonts w:ascii="Times New Roman" w:eastAsia="Times New Roman" w:hAnsi="Times New Roman" w:cs="Times New Roman"/>
          <w:b/>
          <w:color w:val="1C1E29"/>
          <w:sz w:val="24"/>
          <w:szCs w:val="24"/>
          <w:lang w:eastAsia="en-CA"/>
        </w:rPr>
        <w:t>and Incidence Rates</w:t>
      </w:r>
    </w:p>
    <w:p w:rsidR="002013A0" w:rsidRPr="002013A0" w:rsidRDefault="002013A0" w:rsidP="004F35C1">
      <w:pPr>
        <w:spacing w:after="0" w:line="480" w:lineRule="auto"/>
        <w:ind w:firstLine="720"/>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 xml:space="preserve">Gender dysphoria has been classified differently across the entire DSM edition. In the DSM- 5, the APA (American Psychiatric Association) changed the classification of gender dysphoria as a mental disorder to sexual health issues. it suffices to mention that the criteria for identifying gender dysphoria has been inconsistent over a long time and therefore, it is hard to </w:t>
      </w:r>
      <w:r w:rsidRPr="002013A0">
        <w:rPr>
          <w:rFonts w:ascii="Times New Roman" w:eastAsia="Times New Roman" w:hAnsi="Times New Roman" w:cs="Times New Roman"/>
          <w:color w:val="1C1E29"/>
          <w:sz w:val="24"/>
          <w:szCs w:val="24"/>
          <w:lang w:eastAsia="en-CA"/>
        </w:rPr>
        <w:lastRenderedPageBreak/>
        <w:t>address prevalence illnesses with accuracy (Van Caenegem et al., 2015). For instance, in the DSM- IV distress as a co-occurring health condition was not considered as a result of the incongruence of natal gender and desired gender. The diagnosis for gender dysphoria in DSM- IV was referred to as Gender Identity Disorder. It required the identification of cross-sex and did not consider distress. DSM- IV classified the condition as pathological. However, in DSM- V, a person has to show incongruence between physical gender and desired gender and distress for him or her to meet the criteria of the condition. Gender dysphoria is not pathological and distress is functionally impairing (Van Caenegem et al., 2015). It has been noted that the prevalence of mental health diagnoses is higher for children and adults suffering from gender dysphoria than those who do not experience the condition. The mental diagnoses stress, depression, social anxiety disorder, etc. research shows that co-occurring mental disorders are experienced by a parent- supported and unsupported youths. However, with the parent- supported youth with gender dysphoria prevalence rates for mental health comorbidities are low.</w:t>
      </w:r>
    </w:p>
    <w:p w:rsidR="002013A0" w:rsidRPr="002013A0" w:rsidRDefault="002013A0" w:rsidP="004F35C1">
      <w:pPr>
        <w:spacing w:after="0" w:line="480" w:lineRule="auto"/>
        <w:jc w:val="center"/>
        <w:rPr>
          <w:rFonts w:ascii="Times New Roman" w:eastAsia="Times New Roman" w:hAnsi="Times New Roman" w:cs="Times New Roman"/>
          <w:b/>
          <w:color w:val="1C1E29"/>
          <w:sz w:val="24"/>
          <w:szCs w:val="24"/>
          <w:lang w:eastAsia="en-CA"/>
        </w:rPr>
      </w:pPr>
      <w:r w:rsidRPr="002013A0">
        <w:rPr>
          <w:rFonts w:ascii="Times New Roman" w:eastAsia="Times New Roman" w:hAnsi="Times New Roman" w:cs="Times New Roman"/>
          <w:b/>
          <w:color w:val="1C1E29"/>
          <w:sz w:val="24"/>
          <w:szCs w:val="24"/>
          <w:lang w:eastAsia="en-CA"/>
        </w:rPr>
        <w:t xml:space="preserve">A </w:t>
      </w:r>
      <w:r w:rsidR="008552E1" w:rsidRPr="002013A0">
        <w:rPr>
          <w:rFonts w:ascii="Times New Roman" w:eastAsia="Times New Roman" w:hAnsi="Times New Roman" w:cs="Times New Roman"/>
          <w:b/>
          <w:color w:val="1C1E29"/>
          <w:sz w:val="24"/>
          <w:szCs w:val="24"/>
          <w:lang w:eastAsia="en-CA"/>
        </w:rPr>
        <w:t>Review of the Theoretical Perspective on the Causes of the Disorder</w:t>
      </w:r>
    </w:p>
    <w:p w:rsidR="002013A0" w:rsidRPr="002013A0" w:rsidRDefault="002013A0" w:rsidP="004F35C1">
      <w:pPr>
        <w:spacing w:after="0" w:line="480" w:lineRule="auto"/>
        <w:ind w:firstLine="720"/>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It would suffice to assert that gender development is a complex phenomenon. When there are variations in the complex process of developing gender, a mismatch between a person’s gender identity and his or her biological sex occurs (Brown &amp; Bigler, 2016). The complexity of gender development and the many variations that might occur make it difficult to identify the cause of gender dysphoria. However, several theoretical perspectives try to explain the cause of the condition. Scientists hold that the hormones responsible for biological sex development may fail to function properly in various organs such as reproductive organs, genitals and the brain (Schmitt, 2017). Therefore, a person may develop gender dysphoria. </w:t>
      </w:r>
    </w:p>
    <w:p w:rsidR="002013A0" w:rsidRPr="002013A0" w:rsidRDefault="002013A0" w:rsidP="004F35C1">
      <w:pPr>
        <w:spacing w:after="0" w:line="480" w:lineRule="auto"/>
        <w:ind w:firstLine="720"/>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lastRenderedPageBreak/>
        <w:t>The failure of hormones in the mentioned body organs may be caused by hormonal alteration in the mother’s blood probably because of taking medicine. This makes the fetus to develop hormone insensitivity, a condition referred to as Androgen Insensitivity Syndrome (AIS). When this condition happens, gender dysphoria is said to result from improper functioning of hormones in the womb. Other rare causes of gender dysphoria include a condition known as Congenital Adrenal Hyperplasia (CAH) Nguyen, et al., 2018). It is the production of male hormones in high quantities in a female fetus. The result of this condition is a baby with genitals that are similar in appearance to that of males. In some instances, such children are thought to be male when they are born. Another rare condition is the intersex condition. Babies born with this condition usually have genitalia of males and females. The condition is also referred to as ambiguous genitalia. Parents that bear children with ambiguous genitalia should wait for the children to become aware of their condition so that they can choose which gender to identify with before surgery is performed.</w:t>
      </w:r>
    </w:p>
    <w:p w:rsidR="002013A0" w:rsidRPr="002013A0" w:rsidRDefault="002013A0" w:rsidP="004F35C1">
      <w:pPr>
        <w:spacing w:after="0" w:line="480" w:lineRule="auto"/>
        <w:ind w:firstLine="720"/>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 xml:space="preserve">There is a notion that gender identity is psychological and therefore is determined by the brain. Research done on PubMed by a group of researchers shows that the brain contributes a lot to gender identity than any other body organ. The researchers extracted information about gender dysphoria from people across age, gender identity, age, sex, surgical history and hormone replacement (Brown &amp; Bigler, 2016). Also, they studied the activation of the brain toward gender identity in the regional brain. The researchers analyzed the results and concluded that certain regions of the human brain like the orbitofrontal cortex, the hypothalamus, and the insula are more active in transgender females than in cisgender males. There is also a difference in brain volume between transgender females and cisgender males (Schmitt, 2017). The volume of the brain is large in transgender females but small in cisgender males. The researchers used this analysis to </w:t>
      </w:r>
      <w:r w:rsidRPr="002013A0">
        <w:rPr>
          <w:rFonts w:ascii="Times New Roman" w:eastAsia="Times New Roman" w:hAnsi="Times New Roman" w:cs="Times New Roman"/>
          <w:color w:val="1C1E29"/>
          <w:sz w:val="24"/>
          <w:szCs w:val="24"/>
          <w:lang w:eastAsia="en-CA"/>
        </w:rPr>
        <w:lastRenderedPageBreak/>
        <w:t>develop a concept known as “brain gender.” They argue that gender dysphoria symptoms may include psychological processes like “cognitive dissonance” and “prediction error.” </w:t>
      </w:r>
    </w:p>
    <w:p w:rsidR="002013A0" w:rsidRPr="002013A0" w:rsidRDefault="002013A0" w:rsidP="004F35C1">
      <w:pPr>
        <w:spacing w:after="0" w:line="480" w:lineRule="auto"/>
        <w:jc w:val="center"/>
        <w:rPr>
          <w:rFonts w:ascii="Times New Roman" w:eastAsia="Times New Roman" w:hAnsi="Times New Roman" w:cs="Times New Roman"/>
          <w:b/>
          <w:color w:val="1C1E29"/>
          <w:sz w:val="24"/>
          <w:szCs w:val="24"/>
          <w:lang w:eastAsia="en-CA"/>
        </w:rPr>
      </w:pPr>
      <w:r w:rsidRPr="002013A0">
        <w:rPr>
          <w:rFonts w:ascii="Times New Roman" w:eastAsia="Times New Roman" w:hAnsi="Times New Roman" w:cs="Times New Roman"/>
          <w:b/>
          <w:color w:val="1C1E29"/>
          <w:sz w:val="24"/>
          <w:szCs w:val="24"/>
          <w:lang w:eastAsia="en-CA"/>
        </w:rPr>
        <w:t xml:space="preserve">A </w:t>
      </w:r>
      <w:r w:rsidR="008552E1" w:rsidRPr="002013A0">
        <w:rPr>
          <w:rFonts w:ascii="Times New Roman" w:eastAsia="Times New Roman" w:hAnsi="Times New Roman" w:cs="Times New Roman"/>
          <w:b/>
          <w:color w:val="1C1E29"/>
          <w:sz w:val="24"/>
          <w:szCs w:val="24"/>
          <w:lang w:eastAsia="en-CA"/>
        </w:rPr>
        <w:t>Review of Treatment Approaches and Outcome Studies</w:t>
      </w:r>
    </w:p>
    <w:p w:rsidR="002013A0" w:rsidRPr="002013A0" w:rsidRDefault="002013A0" w:rsidP="004F35C1">
      <w:pPr>
        <w:spacing w:after="0" w:line="480" w:lineRule="auto"/>
        <w:ind w:firstLine="720"/>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The best approach for treating gender dysphoria co-occurring condition is cognitive Behavioral Therapy (CBT). The approach has been proved effective in treating social anxiety in an adolescent with gender dysphoria (Austin, &amp; Craig, 2015). Usually, youth who suffer the adverse effect of gender dysphoria are those who do not get the support of parents and the entire society. According to a group of researchers who analyzed the effect of CBT in treating resilience and transphobia in transgender youth, the approach is helpful in the fight against the experience of discrimination, feeling of hopelessness and victimization. The approach worked effectively in group therapy conducted in a particular high school.</w:t>
      </w:r>
    </w:p>
    <w:p w:rsidR="002013A0" w:rsidRPr="002013A0" w:rsidRDefault="002013A0" w:rsidP="004F35C1">
      <w:pPr>
        <w:spacing w:after="0" w:line="480" w:lineRule="auto"/>
        <w:ind w:firstLine="720"/>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The group members included five lesbians and three gays. The students were the most discriminated among the school community due to their transgender identity. According to the school’s administration, the selected students had become resilience and lived a stressful school life. The school guidance and counseling department applied the CBT approach for two months. The behavior of the students was recorded daily and analyzed every week. The CBT activities included counseling on self- acceptance, and esteem, battling with stressful situations, etc. after the two months, the researchers in conjunction with the department of guidance and counseling compiled the results. </w:t>
      </w:r>
    </w:p>
    <w:p w:rsidR="002013A0" w:rsidRPr="002013A0" w:rsidRDefault="002013A0" w:rsidP="004F35C1">
      <w:pPr>
        <w:spacing w:after="0" w:line="480" w:lineRule="auto"/>
        <w:ind w:firstLine="720"/>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 xml:space="preserve">According to the results, three girls recovered from their distress and could participate in activities done by others in the class. The other two girls become friends and abstained from resilience. On the boy’s side, all become active in class and could share jokes with other students. The overall finding was that with social and moral support, victims of gender dysphoria may </w:t>
      </w:r>
      <w:r w:rsidRPr="002013A0">
        <w:rPr>
          <w:rFonts w:ascii="Times New Roman" w:eastAsia="Times New Roman" w:hAnsi="Times New Roman" w:cs="Times New Roman"/>
          <w:color w:val="1C1E29"/>
          <w:sz w:val="24"/>
          <w:szCs w:val="24"/>
          <w:lang w:eastAsia="en-CA"/>
        </w:rPr>
        <w:lastRenderedPageBreak/>
        <w:t>recover from social anxiety disorders (Austin, &amp; Craig, 2015). It was confirmed that the candidates for the CBT intervention were thankful for efforts of the school administration in helping them recover from distress and focuses on their natal gender roles and sex characteristics. One of the girls narrated her development </w:t>
      </w:r>
    </w:p>
    <w:p w:rsidR="002013A0" w:rsidRPr="002013A0" w:rsidRDefault="002013A0" w:rsidP="004F35C1">
      <w:pPr>
        <w:spacing w:after="0" w:line="480" w:lineRule="auto"/>
        <w:jc w:val="center"/>
        <w:rPr>
          <w:rFonts w:ascii="Times New Roman" w:eastAsia="Times New Roman" w:hAnsi="Times New Roman" w:cs="Times New Roman"/>
          <w:b/>
          <w:color w:val="1C1E29"/>
          <w:sz w:val="24"/>
          <w:szCs w:val="24"/>
          <w:lang w:eastAsia="en-CA"/>
        </w:rPr>
      </w:pPr>
      <w:r w:rsidRPr="002013A0">
        <w:rPr>
          <w:rFonts w:ascii="Times New Roman" w:eastAsia="Times New Roman" w:hAnsi="Times New Roman" w:cs="Times New Roman"/>
          <w:b/>
          <w:color w:val="1C1E29"/>
          <w:sz w:val="24"/>
          <w:szCs w:val="24"/>
          <w:lang w:eastAsia="en-CA"/>
        </w:rPr>
        <w:t xml:space="preserve">A </w:t>
      </w:r>
      <w:r w:rsidR="008552E1" w:rsidRPr="002013A0">
        <w:rPr>
          <w:rFonts w:ascii="Times New Roman" w:eastAsia="Times New Roman" w:hAnsi="Times New Roman" w:cs="Times New Roman"/>
          <w:b/>
          <w:color w:val="1C1E29"/>
          <w:sz w:val="24"/>
          <w:szCs w:val="24"/>
          <w:lang w:eastAsia="en-CA"/>
        </w:rPr>
        <w:t>Case Study</w:t>
      </w:r>
    </w:p>
    <w:p w:rsidR="002013A0" w:rsidRPr="002013A0" w:rsidRDefault="002013A0" w:rsidP="004F35C1">
      <w:pPr>
        <w:spacing w:after="0" w:line="480" w:lineRule="auto"/>
        <w:ind w:firstLine="720"/>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Agatha is a teenager who struggled with gender dysphoria since she was six. Her parents noticed her transgender behavior and could not tolerate her queerness. Other family members discredited gender identity and treated her with a lot of suspicions. She liked male clothes and developed sexual attractiveness to fellow girls, especially her dormitory mates. When her parents could not condone her behavior they disposed of her to her aunt</w:t>
      </w:r>
      <w:r w:rsidR="004F35C1">
        <w:rPr>
          <w:rFonts w:ascii="Times New Roman" w:eastAsia="Times New Roman" w:hAnsi="Times New Roman" w:cs="Times New Roman"/>
          <w:color w:val="1C1E29"/>
          <w:sz w:val="24"/>
          <w:szCs w:val="24"/>
          <w:lang w:eastAsia="en-CA"/>
        </w:rPr>
        <w:t>, Catherine</w:t>
      </w:r>
      <w:r w:rsidRPr="002013A0">
        <w:rPr>
          <w:rFonts w:ascii="Times New Roman" w:eastAsia="Times New Roman" w:hAnsi="Times New Roman" w:cs="Times New Roman"/>
          <w:color w:val="1C1E29"/>
          <w:sz w:val="24"/>
          <w:szCs w:val="24"/>
          <w:lang w:eastAsia="en-CA"/>
        </w:rPr>
        <w:t xml:space="preserve">, </w:t>
      </w:r>
      <w:r w:rsidR="004F35C1">
        <w:rPr>
          <w:rFonts w:ascii="Times New Roman" w:eastAsia="Times New Roman" w:hAnsi="Times New Roman" w:cs="Times New Roman"/>
          <w:color w:val="1C1E29"/>
          <w:sz w:val="24"/>
          <w:szCs w:val="24"/>
          <w:lang w:eastAsia="en-CA"/>
        </w:rPr>
        <w:t xml:space="preserve">who is </w:t>
      </w:r>
      <w:r w:rsidRPr="002013A0">
        <w:rPr>
          <w:rFonts w:ascii="Times New Roman" w:eastAsia="Times New Roman" w:hAnsi="Times New Roman" w:cs="Times New Roman"/>
          <w:color w:val="1C1E29"/>
          <w:sz w:val="24"/>
          <w:szCs w:val="24"/>
          <w:lang w:eastAsia="en-CA"/>
        </w:rPr>
        <w:t>a clinician.</w:t>
      </w:r>
    </w:p>
    <w:p w:rsidR="002013A0" w:rsidRPr="002013A0" w:rsidRDefault="002013A0" w:rsidP="002013A0">
      <w:pPr>
        <w:spacing w:after="0" w:line="480" w:lineRule="auto"/>
        <w:jc w:val="both"/>
        <w:rPr>
          <w:rFonts w:ascii="Times New Roman" w:eastAsia="Times New Roman" w:hAnsi="Times New Roman" w:cs="Times New Roman"/>
          <w:color w:val="1C1E29"/>
          <w:sz w:val="24"/>
          <w:szCs w:val="24"/>
          <w:lang w:eastAsia="en-CA"/>
        </w:rPr>
      </w:pPr>
      <w:r w:rsidRPr="002013A0">
        <w:rPr>
          <w:rFonts w:ascii="Times New Roman" w:eastAsia="Times New Roman" w:hAnsi="Times New Roman" w:cs="Times New Roman"/>
          <w:color w:val="1C1E29"/>
          <w:sz w:val="24"/>
          <w:szCs w:val="24"/>
          <w:lang w:eastAsia="en-CA"/>
        </w:rPr>
        <w:t>The aunt helped her to battle with incongruence between her male gender identity and her natal gender. She administered hormone therapy and within a short duration started experiencing female sexual characteristics. What she found hard to refrain from was distress and male dressing mode. However, her Catherine decided to use psychological intervention to help her out of the social anxiety disorder. The intervention program was successful and she recovered from the gender dysphoria.</w:t>
      </w:r>
    </w:p>
    <w:p w:rsidR="00032467" w:rsidRDefault="00032467" w:rsidP="002013A0">
      <w:pPr>
        <w:spacing w:line="480" w:lineRule="auto"/>
        <w:jc w:val="both"/>
        <w:rPr>
          <w:rFonts w:ascii="Times New Roman" w:hAnsi="Times New Roman" w:cs="Times New Roman"/>
          <w:sz w:val="24"/>
          <w:szCs w:val="24"/>
        </w:rPr>
      </w:pPr>
    </w:p>
    <w:p w:rsidR="00032467" w:rsidRDefault="00032467" w:rsidP="002013A0">
      <w:pPr>
        <w:spacing w:line="480" w:lineRule="auto"/>
        <w:jc w:val="both"/>
        <w:rPr>
          <w:rFonts w:ascii="Times New Roman" w:hAnsi="Times New Roman" w:cs="Times New Roman"/>
          <w:sz w:val="24"/>
          <w:szCs w:val="24"/>
        </w:rPr>
      </w:pPr>
    </w:p>
    <w:p w:rsidR="00032467" w:rsidRDefault="00032467" w:rsidP="002013A0">
      <w:pPr>
        <w:spacing w:line="480" w:lineRule="auto"/>
        <w:jc w:val="both"/>
        <w:rPr>
          <w:rFonts w:ascii="Times New Roman" w:hAnsi="Times New Roman" w:cs="Times New Roman"/>
          <w:sz w:val="24"/>
          <w:szCs w:val="24"/>
        </w:rPr>
      </w:pPr>
    </w:p>
    <w:p w:rsidR="00DE53F5" w:rsidRPr="002013A0" w:rsidRDefault="00F61A57" w:rsidP="008552E1">
      <w:pPr>
        <w:spacing w:line="480" w:lineRule="auto"/>
        <w:jc w:val="center"/>
        <w:rPr>
          <w:rFonts w:ascii="Times New Roman" w:hAnsi="Times New Roman" w:cs="Times New Roman"/>
          <w:sz w:val="24"/>
          <w:szCs w:val="24"/>
        </w:rPr>
      </w:pPr>
      <w:r w:rsidRPr="002013A0">
        <w:rPr>
          <w:rFonts w:ascii="Times New Roman" w:hAnsi="Times New Roman" w:cs="Times New Roman"/>
          <w:sz w:val="24"/>
          <w:szCs w:val="24"/>
        </w:rPr>
        <w:t>References</w:t>
      </w:r>
    </w:p>
    <w:p w:rsidR="008552E1" w:rsidRPr="002013A0" w:rsidRDefault="008552E1" w:rsidP="008552E1">
      <w:pPr>
        <w:spacing w:after="0" w:line="480" w:lineRule="auto"/>
        <w:ind w:left="794" w:right="-57" w:hanging="851"/>
        <w:jc w:val="both"/>
        <w:rPr>
          <w:rFonts w:ascii="Times New Roman" w:hAnsi="Times New Roman" w:cs="Times New Roman"/>
          <w:color w:val="222222"/>
          <w:sz w:val="24"/>
          <w:szCs w:val="24"/>
          <w:shd w:val="clear" w:color="auto" w:fill="FFFFFF"/>
        </w:rPr>
      </w:pPr>
      <w:r w:rsidRPr="002013A0">
        <w:rPr>
          <w:rFonts w:ascii="Times New Roman" w:hAnsi="Times New Roman" w:cs="Times New Roman"/>
          <w:color w:val="222222"/>
          <w:sz w:val="24"/>
          <w:szCs w:val="24"/>
          <w:shd w:val="clear" w:color="auto" w:fill="FFFFFF"/>
        </w:rPr>
        <w:lastRenderedPageBreak/>
        <w:t>Austin, A., &amp; Craig, S. L. (2015). Transgender affirmative cognitive behavioral therapy: Clinical considerations and applications. </w:t>
      </w:r>
      <w:r w:rsidRPr="002013A0">
        <w:rPr>
          <w:rFonts w:ascii="Times New Roman" w:hAnsi="Times New Roman" w:cs="Times New Roman"/>
          <w:i/>
          <w:iCs/>
          <w:color w:val="222222"/>
          <w:sz w:val="24"/>
          <w:szCs w:val="24"/>
          <w:shd w:val="clear" w:color="auto" w:fill="FFFFFF"/>
        </w:rPr>
        <w:t>Professional Psychology: Research and Practice</w:t>
      </w:r>
      <w:r w:rsidRPr="002013A0">
        <w:rPr>
          <w:rFonts w:ascii="Times New Roman" w:hAnsi="Times New Roman" w:cs="Times New Roman"/>
          <w:color w:val="222222"/>
          <w:sz w:val="24"/>
          <w:szCs w:val="24"/>
          <w:shd w:val="clear" w:color="auto" w:fill="FFFFFF"/>
        </w:rPr>
        <w:t>, </w:t>
      </w:r>
      <w:r w:rsidRPr="002013A0">
        <w:rPr>
          <w:rFonts w:ascii="Times New Roman" w:hAnsi="Times New Roman" w:cs="Times New Roman"/>
          <w:i/>
          <w:iCs/>
          <w:color w:val="222222"/>
          <w:sz w:val="24"/>
          <w:szCs w:val="24"/>
          <w:shd w:val="clear" w:color="auto" w:fill="FFFFFF"/>
        </w:rPr>
        <w:t>46</w:t>
      </w:r>
      <w:r w:rsidRPr="002013A0">
        <w:rPr>
          <w:rFonts w:ascii="Times New Roman" w:hAnsi="Times New Roman" w:cs="Times New Roman"/>
          <w:color w:val="222222"/>
          <w:sz w:val="24"/>
          <w:szCs w:val="24"/>
          <w:shd w:val="clear" w:color="auto" w:fill="FFFFFF"/>
        </w:rPr>
        <w:t>(1), 21.</w:t>
      </w:r>
    </w:p>
    <w:p w:rsidR="008552E1" w:rsidRPr="002013A0" w:rsidRDefault="008552E1" w:rsidP="008552E1">
      <w:pPr>
        <w:spacing w:after="0" w:line="480" w:lineRule="auto"/>
        <w:ind w:left="794" w:right="-57" w:hanging="851"/>
        <w:jc w:val="both"/>
        <w:rPr>
          <w:rFonts w:ascii="Times New Roman" w:hAnsi="Times New Roman" w:cs="Times New Roman"/>
          <w:color w:val="222222"/>
          <w:sz w:val="24"/>
          <w:szCs w:val="24"/>
          <w:shd w:val="clear" w:color="auto" w:fill="FFFFFF"/>
        </w:rPr>
      </w:pPr>
      <w:r w:rsidRPr="002013A0">
        <w:rPr>
          <w:rFonts w:ascii="Times New Roman" w:hAnsi="Times New Roman" w:cs="Times New Roman"/>
          <w:color w:val="222222"/>
          <w:sz w:val="24"/>
          <w:szCs w:val="24"/>
          <w:shd w:val="clear" w:color="auto" w:fill="FFFFFF"/>
        </w:rPr>
        <w:t>Brown, C. S., &amp; Bigler, R. S. (2016). Feminist perspectives on gender development: Contributions to theory and practice. In </w:t>
      </w:r>
      <w:r w:rsidRPr="002013A0">
        <w:rPr>
          <w:rFonts w:ascii="Times New Roman" w:hAnsi="Times New Roman" w:cs="Times New Roman"/>
          <w:i/>
          <w:iCs/>
          <w:color w:val="222222"/>
          <w:sz w:val="24"/>
          <w:szCs w:val="24"/>
          <w:shd w:val="clear" w:color="auto" w:fill="FFFFFF"/>
        </w:rPr>
        <w:t>Feminist perspectives on building a better psychological science of gender</w:t>
      </w:r>
      <w:r w:rsidRPr="002013A0">
        <w:rPr>
          <w:rFonts w:ascii="Times New Roman" w:hAnsi="Times New Roman" w:cs="Times New Roman"/>
          <w:color w:val="222222"/>
          <w:sz w:val="24"/>
          <w:szCs w:val="24"/>
          <w:shd w:val="clear" w:color="auto" w:fill="FFFFFF"/>
        </w:rPr>
        <w:t> (pp. 61-78). Springer, Cham.</w:t>
      </w:r>
    </w:p>
    <w:p w:rsidR="008552E1" w:rsidRPr="002013A0" w:rsidRDefault="008552E1" w:rsidP="008552E1">
      <w:pPr>
        <w:spacing w:after="0" w:line="480" w:lineRule="auto"/>
        <w:ind w:left="794" w:right="-57" w:hanging="851"/>
        <w:jc w:val="both"/>
        <w:rPr>
          <w:rFonts w:ascii="Times New Roman" w:hAnsi="Times New Roman" w:cs="Times New Roman"/>
          <w:color w:val="222222"/>
          <w:sz w:val="24"/>
          <w:szCs w:val="24"/>
          <w:shd w:val="clear" w:color="auto" w:fill="FFFFFF"/>
        </w:rPr>
      </w:pPr>
      <w:r w:rsidRPr="002013A0">
        <w:rPr>
          <w:rFonts w:ascii="Times New Roman" w:hAnsi="Times New Roman" w:cs="Times New Roman"/>
          <w:color w:val="222222"/>
          <w:sz w:val="24"/>
          <w:szCs w:val="24"/>
          <w:shd w:val="clear" w:color="auto" w:fill="FFFFFF"/>
        </w:rPr>
        <w:t>F. Beek, T., Cohen-Kettenis, P. T., &amp; Kreukels, B. P. (2016). Gender incongruence/gender dysphoria and its classification history. </w:t>
      </w:r>
      <w:r w:rsidRPr="002013A0">
        <w:rPr>
          <w:rFonts w:ascii="Times New Roman" w:hAnsi="Times New Roman" w:cs="Times New Roman"/>
          <w:i/>
          <w:iCs/>
          <w:color w:val="222222"/>
          <w:sz w:val="24"/>
          <w:szCs w:val="24"/>
          <w:shd w:val="clear" w:color="auto" w:fill="FFFFFF"/>
        </w:rPr>
        <w:t>International Review of Psychiatry</w:t>
      </w:r>
      <w:r w:rsidRPr="002013A0">
        <w:rPr>
          <w:rFonts w:ascii="Times New Roman" w:hAnsi="Times New Roman" w:cs="Times New Roman"/>
          <w:color w:val="222222"/>
          <w:sz w:val="24"/>
          <w:szCs w:val="24"/>
          <w:shd w:val="clear" w:color="auto" w:fill="FFFFFF"/>
        </w:rPr>
        <w:t>, </w:t>
      </w:r>
      <w:r w:rsidRPr="002013A0">
        <w:rPr>
          <w:rFonts w:ascii="Times New Roman" w:hAnsi="Times New Roman" w:cs="Times New Roman"/>
          <w:i/>
          <w:iCs/>
          <w:color w:val="222222"/>
          <w:sz w:val="24"/>
          <w:szCs w:val="24"/>
          <w:shd w:val="clear" w:color="auto" w:fill="FFFFFF"/>
        </w:rPr>
        <w:t>28</w:t>
      </w:r>
      <w:r w:rsidRPr="002013A0">
        <w:rPr>
          <w:rFonts w:ascii="Times New Roman" w:hAnsi="Times New Roman" w:cs="Times New Roman"/>
          <w:color w:val="222222"/>
          <w:sz w:val="24"/>
          <w:szCs w:val="24"/>
          <w:shd w:val="clear" w:color="auto" w:fill="FFFFFF"/>
        </w:rPr>
        <w:t>(1), 5-12.</w:t>
      </w:r>
    </w:p>
    <w:p w:rsidR="008552E1" w:rsidRPr="002013A0" w:rsidRDefault="008552E1" w:rsidP="008552E1">
      <w:pPr>
        <w:spacing w:after="0" w:line="480" w:lineRule="auto"/>
        <w:ind w:left="794" w:right="-57" w:hanging="851"/>
        <w:jc w:val="both"/>
        <w:rPr>
          <w:rFonts w:ascii="Times New Roman" w:hAnsi="Times New Roman" w:cs="Times New Roman"/>
          <w:color w:val="222222"/>
          <w:sz w:val="24"/>
          <w:szCs w:val="24"/>
          <w:shd w:val="clear" w:color="auto" w:fill="FFFFFF"/>
        </w:rPr>
      </w:pPr>
      <w:r w:rsidRPr="002013A0">
        <w:rPr>
          <w:rFonts w:ascii="Times New Roman" w:hAnsi="Times New Roman" w:cs="Times New Roman"/>
          <w:color w:val="222222"/>
          <w:sz w:val="24"/>
          <w:szCs w:val="24"/>
          <w:shd w:val="clear" w:color="auto" w:fill="FFFFFF"/>
        </w:rPr>
        <w:t>Lev, A. (2016). Gender dysphoria. </w:t>
      </w:r>
      <w:r w:rsidRPr="002013A0">
        <w:rPr>
          <w:rFonts w:ascii="Times New Roman" w:hAnsi="Times New Roman" w:cs="Times New Roman"/>
          <w:i/>
          <w:iCs/>
          <w:color w:val="222222"/>
          <w:sz w:val="24"/>
          <w:szCs w:val="24"/>
          <w:shd w:val="clear" w:color="auto" w:fill="FFFFFF"/>
        </w:rPr>
        <w:t>The Wiley Blackwell Encyclopedia of Gender and Sexuality Studies</w:t>
      </w:r>
      <w:r w:rsidRPr="002013A0">
        <w:rPr>
          <w:rFonts w:ascii="Times New Roman" w:hAnsi="Times New Roman" w:cs="Times New Roman"/>
          <w:color w:val="222222"/>
          <w:sz w:val="24"/>
          <w:szCs w:val="24"/>
          <w:shd w:val="clear" w:color="auto" w:fill="FFFFFF"/>
        </w:rPr>
        <w:t>, 1-3.</w:t>
      </w:r>
    </w:p>
    <w:p w:rsidR="008552E1" w:rsidRPr="002013A0" w:rsidRDefault="008552E1" w:rsidP="008552E1">
      <w:pPr>
        <w:spacing w:after="0" w:line="480" w:lineRule="auto"/>
        <w:ind w:left="794" w:right="-57" w:hanging="851"/>
        <w:jc w:val="both"/>
        <w:rPr>
          <w:rFonts w:ascii="Times New Roman" w:hAnsi="Times New Roman" w:cs="Times New Roman"/>
          <w:color w:val="222222"/>
          <w:sz w:val="24"/>
          <w:szCs w:val="24"/>
          <w:shd w:val="clear" w:color="auto" w:fill="FFFFFF"/>
        </w:rPr>
      </w:pPr>
      <w:r w:rsidRPr="002013A0">
        <w:rPr>
          <w:rFonts w:ascii="Times New Roman" w:hAnsi="Times New Roman" w:cs="Times New Roman"/>
          <w:color w:val="222222"/>
          <w:sz w:val="24"/>
          <w:szCs w:val="24"/>
          <w:shd w:val="clear" w:color="auto" w:fill="FFFFFF"/>
        </w:rPr>
        <w:t>Mazur, T. (2005). Gender dysphoria and gender change in androgen insensitivity or micropenis. </w:t>
      </w:r>
      <w:r w:rsidRPr="002013A0">
        <w:rPr>
          <w:rFonts w:ascii="Times New Roman" w:hAnsi="Times New Roman" w:cs="Times New Roman"/>
          <w:i/>
          <w:iCs/>
          <w:color w:val="222222"/>
          <w:sz w:val="24"/>
          <w:szCs w:val="24"/>
          <w:shd w:val="clear" w:color="auto" w:fill="FFFFFF"/>
        </w:rPr>
        <w:t>Archives of Sexual Behavior</w:t>
      </w:r>
      <w:r w:rsidRPr="002013A0">
        <w:rPr>
          <w:rFonts w:ascii="Times New Roman" w:hAnsi="Times New Roman" w:cs="Times New Roman"/>
          <w:color w:val="222222"/>
          <w:sz w:val="24"/>
          <w:szCs w:val="24"/>
          <w:shd w:val="clear" w:color="auto" w:fill="FFFFFF"/>
        </w:rPr>
        <w:t>, </w:t>
      </w:r>
      <w:r w:rsidRPr="002013A0">
        <w:rPr>
          <w:rFonts w:ascii="Times New Roman" w:hAnsi="Times New Roman" w:cs="Times New Roman"/>
          <w:i/>
          <w:iCs/>
          <w:color w:val="222222"/>
          <w:sz w:val="24"/>
          <w:szCs w:val="24"/>
          <w:shd w:val="clear" w:color="auto" w:fill="FFFFFF"/>
        </w:rPr>
        <w:t>34</w:t>
      </w:r>
      <w:r w:rsidRPr="002013A0">
        <w:rPr>
          <w:rFonts w:ascii="Times New Roman" w:hAnsi="Times New Roman" w:cs="Times New Roman"/>
          <w:color w:val="222222"/>
          <w:sz w:val="24"/>
          <w:szCs w:val="24"/>
          <w:shd w:val="clear" w:color="auto" w:fill="FFFFFF"/>
        </w:rPr>
        <w:t>(4), 411-421.</w:t>
      </w:r>
    </w:p>
    <w:p w:rsidR="008552E1" w:rsidRPr="008552E1" w:rsidRDefault="008552E1" w:rsidP="008552E1">
      <w:pPr>
        <w:spacing w:after="0" w:line="480" w:lineRule="auto"/>
        <w:ind w:left="794" w:right="-57" w:hanging="851"/>
        <w:jc w:val="both"/>
        <w:rPr>
          <w:rFonts w:ascii="Times New Roman" w:hAnsi="Times New Roman" w:cs="Times New Roman"/>
          <w:color w:val="222222"/>
          <w:sz w:val="24"/>
          <w:szCs w:val="24"/>
          <w:shd w:val="clear" w:color="auto" w:fill="FFFFFF"/>
        </w:rPr>
      </w:pPr>
      <w:r w:rsidRPr="002013A0">
        <w:rPr>
          <w:rFonts w:ascii="Times New Roman" w:hAnsi="Times New Roman" w:cs="Times New Roman"/>
          <w:color w:val="222222"/>
          <w:sz w:val="24"/>
          <w:szCs w:val="24"/>
          <w:shd w:val="clear" w:color="auto" w:fill="FFFFFF"/>
        </w:rPr>
        <w:t>Nguyen, H. B., Chavez, A. M., Lipner, E., Hantsoo, L., Kornfield, S. L., Davies, R. D., &amp; Epperson, C. N. (2018). Gender-affirming hormone use in transgender individuals: Impact on behavioral health and cognition. </w:t>
      </w:r>
      <w:r w:rsidRPr="002013A0">
        <w:rPr>
          <w:rFonts w:ascii="Times New Roman" w:hAnsi="Times New Roman" w:cs="Times New Roman"/>
          <w:i/>
          <w:iCs/>
          <w:color w:val="222222"/>
          <w:sz w:val="24"/>
          <w:szCs w:val="24"/>
          <w:shd w:val="clear" w:color="auto" w:fill="FFFFFF"/>
        </w:rPr>
        <w:t>Current psychiatry reports</w:t>
      </w:r>
      <w:r w:rsidRPr="002013A0">
        <w:rPr>
          <w:rFonts w:ascii="Times New Roman" w:hAnsi="Times New Roman" w:cs="Times New Roman"/>
          <w:color w:val="222222"/>
          <w:sz w:val="24"/>
          <w:szCs w:val="24"/>
          <w:shd w:val="clear" w:color="auto" w:fill="FFFFFF"/>
        </w:rPr>
        <w:t>, </w:t>
      </w:r>
      <w:r w:rsidRPr="002013A0">
        <w:rPr>
          <w:rFonts w:ascii="Times New Roman" w:hAnsi="Times New Roman" w:cs="Times New Roman"/>
          <w:i/>
          <w:iCs/>
          <w:color w:val="222222"/>
          <w:sz w:val="24"/>
          <w:szCs w:val="24"/>
          <w:shd w:val="clear" w:color="auto" w:fill="FFFFFF"/>
        </w:rPr>
        <w:t>20</w:t>
      </w:r>
      <w:r w:rsidRPr="002013A0">
        <w:rPr>
          <w:rFonts w:ascii="Times New Roman" w:hAnsi="Times New Roman" w:cs="Times New Roman"/>
          <w:color w:val="222222"/>
          <w:sz w:val="24"/>
          <w:szCs w:val="24"/>
          <w:shd w:val="clear" w:color="auto" w:fill="FFFFFF"/>
        </w:rPr>
        <w:t>(12), 110.</w:t>
      </w:r>
    </w:p>
    <w:p w:rsidR="008552E1" w:rsidRPr="002013A0" w:rsidRDefault="008552E1" w:rsidP="008552E1">
      <w:pPr>
        <w:spacing w:after="0" w:line="480" w:lineRule="auto"/>
        <w:ind w:left="794" w:right="-57" w:hanging="851"/>
        <w:jc w:val="both"/>
        <w:rPr>
          <w:rFonts w:ascii="Times New Roman" w:hAnsi="Times New Roman" w:cs="Times New Roman"/>
          <w:color w:val="222222"/>
          <w:sz w:val="24"/>
          <w:szCs w:val="24"/>
          <w:shd w:val="clear" w:color="auto" w:fill="FFFFFF"/>
        </w:rPr>
      </w:pPr>
      <w:r w:rsidRPr="002013A0">
        <w:rPr>
          <w:rFonts w:ascii="Times New Roman" w:hAnsi="Times New Roman" w:cs="Times New Roman"/>
          <w:color w:val="222222"/>
          <w:sz w:val="24"/>
          <w:szCs w:val="24"/>
          <w:shd w:val="clear" w:color="auto" w:fill="FFFFFF"/>
        </w:rPr>
        <w:t>Ristori, J., &amp; Steensma, T. D. (2016). Gender dysphoria in childhood. </w:t>
      </w:r>
      <w:r w:rsidRPr="002013A0">
        <w:rPr>
          <w:rFonts w:ascii="Times New Roman" w:hAnsi="Times New Roman" w:cs="Times New Roman"/>
          <w:i/>
          <w:iCs/>
          <w:color w:val="222222"/>
          <w:sz w:val="24"/>
          <w:szCs w:val="24"/>
          <w:shd w:val="clear" w:color="auto" w:fill="FFFFFF"/>
        </w:rPr>
        <w:t>International Review of Psychiatry</w:t>
      </w:r>
      <w:r w:rsidRPr="002013A0">
        <w:rPr>
          <w:rFonts w:ascii="Times New Roman" w:hAnsi="Times New Roman" w:cs="Times New Roman"/>
          <w:color w:val="222222"/>
          <w:sz w:val="24"/>
          <w:szCs w:val="24"/>
          <w:shd w:val="clear" w:color="auto" w:fill="FFFFFF"/>
        </w:rPr>
        <w:t>, </w:t>
      </w:r>
      <w:r w:rsidRPr="002013A0">
        <w:rPr>
          <w:rFonts w:ascii="Times New Roman" w:hAnsi="Times New Roman" w:cs="Times New Roman"/>
          <w:i/>
          <w:iCs/>
          <w:color w:val="222222"/>
          <w:sz w:val="24"/>
          <w:szCs w:val="24"/>
          <w:shd w:val="clear" w:color="auto" w:fill="FFFFFF"/>
        </w:rPr>
        <w:t>28</w:t>
      </w:r>
      <w:r w:rsidRPr="002013A0">
        <w:rPr>
          <w:rFonts w:ascii="Times New Roman" w:hAnsi="Times New Roman" w:cs="Times New Roman"/>
          <w:color w:val="222222"/>
          <w:sz w:val="24"/>
          <w:szCs w:val="24"/>
          <w:shd w:val="clear" w:color="auto" w:fill="FFFFFF"/>
        </w:rPr>
        <w:t>(1), 13-20.</w:t>
      </w:r>
    </w:p>
    <w:p w:rsidR="008552E1" w:rsidRPr="002013A0" w:rsidRDefault="008552E1" w:rsidP="008552E1">
      <w:pPr>
        <w:spacing w:after="0" w:line="480" w:lineRule="auto"/>
        <w:ind w:left="794" w:right="-57" w:hanging="851"/>
        <w:jc w:val="both"/>
        <w:rPr>
          <w:rFonts w:ascii="Times New Roman" w:hAnsi="Times New Roman" w:cs="Times New Roman"/>
          <w:color w:val="222222"/>
          <w:sz w:val="24"/>
          <w:szCs w:val="24"/>
          <w:shd w:val="clear" w:color="auto" w:fill="FFFFFF"/>
        </w:rPr>
      </w:pPr>
      <w:r w:rsidRPr="002013A0">
        <w:rPr>
          <w:rFonts w:ascii="Times New Roman" w:hAnsi="Times New Roman" w:cs="Times New Roman"/>
          <w:color w:val="222222"/>
          <w:sz w:val="24"/>
          <w:szCs w:val="24"/>
          <w:shd w:val="clear" w:color="auto" w:fill="FFFFFF"/>
        </w:rPr>
        <w:t>Schmitt, D. P. (2017). Sexual Dials (Not Switches) Theory: An Evolutionary Perspective on Sex and Gender Complexity. </w:t>
      </w:r>
      <w:r w:rsidRPr="002013A0">
        <w:rPr>
          <w:rFonts w:ascii="Times New Roman" w:hAnsi="Times New Roman" w:cs="Times New Roman"/>
          <w:i/>
          <w:iCs/>
          <w:color w:val="222222"/>
          <w:sz w:val="24"/>
          <w:szCs w:val="24"/>
          <w:shd w:val="clear" w:color="auto" w:fill="FFFFFF"/>
        </w:rPr>
        <w:t>Evolutionary Studies in Imaginative Culture</w:t>
      </w:r>
      <w:r w:rsidRPr="002013A0">
        <w:rPr>
          <w:rFonts w:ascii="Times New Roman" w:hAnsi="Times New Roman" w:cs="Times New Roman"/>
          <w:color w:val="222222"/>
          <w:sz w:val="24"/>
          <w:szCs w:val="24"/>
          <w:shd w:val="clear" w:color="auto" w:fill="FFFFFF"/>
        </w:rPr>
        <w:t>, </w:t>
      </w:r>
      <w:r w:rsidRPr="002013A0">
        <w:rPr>
          <w:rFonts w:ascii="Times New Roman" w:hAnsi="Times New Roman" w:cs="Times New Roman"/>
          <w:i/>
          <w:iCs/>
          <w:color w:val="222222"/>
          <w:sz w:val="24"/>
          <w:szCs w:val="24"/>
          <w:shd w:val="clear" w:color="auto" w:fill="FFFFFF"/>
        </w:rPr>
        <w:t>1</w:t>
      </w:r>
      <w:r w:rsidRPr="002013A0">
        <w:rPr>
          <w:rFonts w:ascii="Times New Roman" w:hAnsi="Times New Roman" w:cs="Times New Roman"/>
          <w:color w:val="222222"/>
          <w:sz w:val="24"/>
          <w:szCs w:val="24"/>
          <w:shd w:val="clear" w:color="auto" w:fill="FFFFFF"/>
        </w:rPr>
        <w:t>(1), 93-102.</w:t>
      </w:r>
    </w:p>
    <w:p w:rsidR="008552E1" w:rsidRPr="002013A0" w:rsidRDefault="008552E1" w:rsidP="008552E1">
      <w:pPr>
        <w:spacing w:after="0" w:line="480" w:lineRule="auto"/>
        <w:ind w:left="794" w:right="-57" w:hanging="851"/>
        <w:jc w:val="both"/>
        <w:rPr>
          <w:rFonts w:ascii="Times New Roman" w:hAnsi="Times New Roman" w:cs="Times New Roman"/>
          <w:color w:val="222222"/>
          <w:sz w:val="24"/>
          <w:szCs w:val="24"/>
          <w:shd w:val="clear" w:color="auto" w:fill="FFFFFF"/>
        </w:rPr>
      </w:pPr>
      <w:r w:rsidRPr="002013A0">
        <w:rPr>
          <w:rFonts w:ascii="Times New Roman" w:hAnsi="Times New Roman" w:cs="Times New Roman"/>
          <w:color w:val="222222"/>
          <w:sz w:val="24"/>
          <w:szCs w:val="24"/>
          <w:shd w:val="clear" w:color="auto" w:fill="FFFFFF"/>
        </w:rPr>
        <w:t>Van Caenegem, E., Wierckx, K., Elaut, E., Buysse, A., Dewaele, A., Van Nieuwerburgh, F., ... &amp; T’Sjoen, G. (2015). Prevalence of gender nonconformity in Flanders, Belgium. </w:t>
      </w:r>
      <w:r w:rsidRPr="002013A0">
        <w:rPr>
          <w:rFonts w:ascii="Times New Roman" w:hAnsi="Times New Roman" w:cs="Times New Roman"/>
          <w:i/>
          <w:iCs/>
          <w:color w:val="222222"/>
          <w:sz w:val="24"/>
          <w:szCs w:val="24"/>
          <w:shd w:val="clear" w:color="auto" w:fill="FFFFFF"/>
        </w:rPr>
        <w:t>Archives of sexual behavior</w:t>
      </w:r>
      <w:r w:rsidRPr="002013A0">
        <w:rPr>
          <w:rFonts w:ascii="Times New Roman" w:hAnsi="Times New Roman" w:cs="Times New Roman"/>
          <w:color w:val="222222"/>
          <w:sz w:val="24"/>
          <w:szCs w:val="24"/>
          <w:shd w:val="clear" w:color="auto" w:fill="FFFFFF"/>
        </w:rPr>
        <w:t>, </w:t>
      </w:r>
      <w:r w:rsidRPr="002013A0">
        <w:rPr>
          <w:rFonts w:ascii="Times New Roman" w:hAnsi="Times New Roman" w:cs="Times New Roman"/>
          <w:i/>
          <w:iCs/>
          <w:color w:val="222222"/>
          <w:sz w:val="24"/>
          <w:szCs w:val="24"/>
          <w:shd w:val="clear" w:color="auto" w:fill="FFFFFF"/>
        </w:rPr>
        <w:t>44</w:t>
      </w:r>
      <w:r w:rsidRPr="002013A0">
        <w:rPr>
          <w:rFonts w:ascii="Times New Roman" w:hAnsi="Times New Roman" w:cs="Times New Roman"/>
          <w:color w:val="222222"/>
          <w:sz w:val="24"/>
          <w:szCs w:val="24"/>
          <w:shd w:val="clear" w:color="auto" w:fill="FFFFFF"/>
        </w:rPr>
        <w:t>(5), 1281-1287.</w:t>
      </w:r>
    </w:p>
    <w:p w:rsidR="008552E1" w:rsidRPr="002013A0" w:rsidRDefault="008552E1" w:rsidP="008552E1">
      <w:pPr>
        <w:spacing w:after="0" w:line="480" w:lineRule="auto"/>
        <w:ind w:left="794" w:right="-57" w:hanging="851"/>
        <w:jc w:val="both"/>
        <w:rPr>
          <w:rFonts w:ascii="Times New Roman" w:hAnsi="Times New Roman" w:cs="Times New Roman"/>
          <w:color w:val="222222"/>
          <w:sz w:val="24"/>
          <w:szCs w:val="24"/>
          <w:shd w:val="clear" w:color="auto" w:fill="FFFFFF"/>
        </w:rPr>
      </w:pPr>
      <w:r w:rsidRPr="002013A0">
        <w:rPr>
          <w:rFonts w:ascii="Times New Roman" w:hAnsi="Times New Roman" w:cs="Times New Roman"/>
          <w:color w:val="222222"/>
          <w:sz w:val="24"/>
          <w:szCs w:val="24"/>
          <w:shd w:val="clear" w:color="auto" w:fill="FFFFFF"/>
        </w:rPr>
        <w:lastRenderedPageBreak/>
        <w:t>Zucker, K. J. (2015). The DSM-5 Diagnostic criteria for gender dysphoria. In </w:t>
      </w:r>
      <w:r w:rsidRPr="002013A0">
        <w:rPr>
          <w:rFonts w:ascii="Times New Roman" w:hAnsi="Times New Roman" w:cs="Times New Roman"/>
          <w:i/>
          <w:iCs/>
          <w:color w:val="222222"/>
          <w:sz w:val="24"/>
          <w:szCs w:val="24"/>
          <w:shd w:val="clear" w:color="auto" w:fill="FFFFFF"/>
        </w:rPr>
        <w:t>Management of gender dysphoria</w:t>
      </w:r>
      <w:r w:rsidRPr="002013A0">
        <w:rPr>
          <w:rFonts w:ascii="Times New Roman" w:hAnsi="Times New Roman" w:cs="Times New Roman"/>
          <w:color w:val="222222"/>
          <w:sz w:val="24"/>
          <w:szCs w:val="24"/>
          <w:shd w:val="clear" w:color="auto" w:fill="FFFFFF"/>
        </w:rPr>
        <w:t> (pp. 33-37). Springer, Milano.</w:t>
      </w:r>
    </w:p>
    <w:p w:rsidR="008552E1" w:rsidRPr="002013A0" w:rsidRDefault="008552E1" w:rsidP="008552E1">
      <w:pPr>
        <w:spacing w:after="0" w:line="480" w:lineRule="auto"/>
        <w:ind w:left="794" w:right="-57" w:hanging="851"/>
        <w:jc w:val="both"/>
        <w:rPr>
          <w:rFonts w:ascii="Times New Roman" w:hAnsi="Times New Roman" w:cs="Times New Roman"/>
          <w:color w:val="222222"/>
          <w:sz w:val="24"/>
          <w:szCs w:val="24"/>
          <w:shd w:val="clear" w:color="auto" w:fill="FFFFFF"/>
        </w:rPr>
      </w:pPr>
      <w:r w:rsidRPr="002013A0">
        <w:rPr>
          <w:rFonts w:ascii="Times New Roman" w:hAnsi="Times New Roman" w:cs="Times New Roman"/>
          <w:color w:val="222222"/>
          <w:sz w:val="24"/>
          <w:szCs w:val="24"/>
          <w:shd w:val="clear" w:color="auto" w:fill="FFFFFF"/>
        </w:rPr>
        <w:t>Zucker, K. J., Lawrence, A. A., &amp; Kreukels, B. P. (2016). Gender dysphoria in adults. </w:t>
      </w:r>
      <w:r w:rsidRPr="002013A0">
        <w:rPr>
          <w:rFonts w:ascii="Times New Roman" w:hAnsi="Times New Roman" w:cs="Times New Roman"/>
          <w:i/>
          <w:iCs/>
          <w:color w:val="222222"/>
          <w:sz w:val="24"/>
          <w:szCs w:val="24"/>
          <w:shd w:val="clear" w:color="auto" w:fill="FFFFFF"/>
        </w:rPr>
        <w:t>Annual review of clinical psychology</w:t>
      </w:r>
      <w:r w:rsidRPr="002013A0">
        <w:rPr>
          <w:rFonts w:ascii="Times New Roman" w:hAnsi="Times New Roman" w:cs="Times New Roman"/>
          <w:color w:val="222222"/>
          <w:sz w:val="24"/>
          <w:szCs w:val="24"/>
          <w:shd w:val="clear" w:color="auto" w:fill="FFFFFF"/>
        </w:rPr>
        <w:t>, </w:t>
      </w:r>
      <w:r w:rsidRPr="002013A0">
        <w:rPr>
          <w:rFonts w:ascii="Times New Roman" w:hAnsi="Times New Roman" w:cs="Times New Roman"/>
          <w:i/>
          <w:iCs/>
          <w:color w:val="222222"/>
          <w:sz w:val="24"/>
          <w:szCs w:val="24"/>
          <w:shd w:val="clear" w:color="auto" w:fill="FFFFFF"/>
        </w:rPr>
        <w:t>12</w:t>
      </w:r>
      <w:r w:rsidRPr="002013A0">
        <w:rPr>
          <w:rFonts w:ascii="Times New Roman" w:hAnsi="Times New Roman" w:cs="Times New Roman"/>
          <w:color w:val="222222"/>
          <w:sz w:val="24"/>
          <w:szCs w:val="24"/>
          <w:shd w:val="clear" w:color="auto" w:fill="FFFFFF"/>
        </w:rPr>
        <w:t>, 217-247.</w:t>
      </w:r>
    </w:p>
    <w:sectPr w:rsidR="008552E1" w:rsidRPr="002013A0" w:rsidSect="002013A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75E5" w:rsidRDefault="005B75E5" w:rsidP="002013A0">
      <w:pPr>
        <w:spacing w:after="0" w:line="240" w:lineRule="auto"/>
      </w:pPr>
      <w:r>
        <w:separator/>
      </w:r>
    </w:p>
  </w:endnote>
  <w:endnote w:type="continuationSeparator" w:id="0">
    <w:p w:rsidR="005B75E5" w:rsidRDefault="005B75E5" w:rsidP="00201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75E5" w:rsidRDefault="005B75E5" w:rsidP="002013A0">
      <w:pPr>
        <w:spacing w:after="0" w:line="240" w:lineRule="auto"/>
      </w:pPr>
      <w:r>
        <w:separator/>
      </w:r>
    </w:p>
  </w:footnote>
  <w:footnote w:type="continuationSeparator" w:id="0">
    <w:p w:rsidR="005B75E5" w:rsidRDefault="005B75E5" w:rsidP="002013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3A0" w:rsidRPr="002013A0" w:rsidRDefault="002013A0" w:rsidP="002013A0">
    <w:pPr>
      <w:pStyle w:val="Header"/>
      <w:jc w:val="right"/>
      <w:rPr>
        <w:rFonts w:ascii="Times New Roman" w:hAnsi="Times New Roman" w:cs="Times New Roman"/>
        <w:sz w:val="24"/>
        <w:szCs w:val="24"/>
      </w:rPr>
    </w:pPr>
    <w:r w:rsidRPr="002013A0">
      <w:rPr>
        <w:rFonts w:ascii="Times New Roman" w:hAnsi="Times New Roman" w:cs="Times New Roman"/>
        <w:sz w:val="24"/>
        <w:szCs w:val="24"/>
      </w:rPr>
      <w:t>GENDER DYSPHORIA</w:t>
    </w:r>
    <w:r>
      <w:rPr>
        <w:rFonts w:ascii="Times New Roman" w:hAnsi="Times New Roman" w:cs="Times New Roman"/>
        <w:sz w:val="24"/>
        <w:szCs w:val="24"/>
      </w:rPr>
      <w:t xml:space="preserve">                                                                                                                </w:t>
    </w:r>
    <w:r w:rsidRPr="002013A0">
      <w:rPr>
        <w:rFonts w:ascii="Times New Roman" w:hAnsi="Times New Roman" w:cs="Times New Roman"/>
        <w:sz w:val="24"/>
        <w:szCs w:val="24"/>
      </w:rPr>
      <w:t xml:space="preserve"> </w:t>
    </w:r>
    <w:sdt>
      <w:sdtPr>
        <w:rPr>
          <w:rFonts w:ascii="Times New Roman" w:hAnsi="Times New Roman" w:cs="Times New Roman"/>
          <w:sz w:val="24"/>
          <w:szCs w:val="24"/>
        </w:rPr>
        <w:id w:val="10137194"/>
        <w:docPartObj>
          <w:docPartGallery w:val="Page Numbers (Top of Page)"/>
          <w:docPartUnique/>
        </w:docPartObj>
      </w:sdtPr>
      <w:sdtEndPr/>
      <w:sdtContent>
        <w:r w:rsidRPr="002013A0">
          <w:rPr>
            <w:rFonts w:ascii="Times New Roman" w:hAnsi="Times New Roman" w:cs="Times New Roman"/>
            <w:sz w:val="24"/>
            <w:szCs w:val="24"/>
          </w:rPr>
          <w:fldChar w:fldCharType="begin"/>
        </w:r>
        <w:r w:rsidRPr="002013A0">
          <w:rPr>
            <w:rFonts w:ascii="Times New Roman" w:hAnsi="Times New Roman" w:cs="Times New Roman"/>
            <w:sz w:val="24"/>
            <w:szCs w:val="24"/>
          </w:rPr>
          <w:instrText xml:space="preserve"> PAGE   \* MERGEFORMAT </w:instrText>
        </w:r>
        <w:r w:rsidRPr="002013A0">
          <w:rPr>
            <w:rFonts w:ascii="Times New Roman" w:hAnsi="Times New Roman" w:cs="Times New Roman"/>
            <w:sz w:val="24"/>
            <w:szCs w:val="24"/>
          </w:rPr>
          <w:fldChar w:fldCharType="separate"/>
        </w:r>
        <w:r w:rsidR="002E0806">
          <w:rPr>
            <w:rFonts w:ascii="Times New Roman" w:hAnsi="Times New Roman" w:cs="Times New Roman"/>
            <w:noProof/>
            <w:sz w:val="24"/>
            <w:szCs w:val="24"/>
          </w:rPr>
          <w:t>3</w:t>
        </w:r>
        <w:r w:rsidRPr="002013A0">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3A0" w:rsidRPr="002013A0" w:rsidRDefault="002013A0" w:rsidP="002013A0">
    <w:pPr>
      <w:pStyle w:val="Header"/>
      <w:jc w:val="right"/>
      <w:rPr>
        <w:rFonts w:ascii="Times New Roman" w:hAnsi="Times New Roman" w:cs="Times New Roman"/>
        <w:sz w:val="24"/>
        <w:szCs w:val="24"/>
      </w:rPr>
    </w:pPr>
    <w:r w:rsidRPr="002013A0">
      <w:rPr>
        <w:rFonts w:ascii="Times New Roman" w:hAnsi="Times New Roman" w:cs="Times New Roman"/>
        <w:sz w:val="24"/>
        <w:szCs w:val="24"/>
      </w:rPr>
      <w:t>Running Head: GENDER DYSPHORIA</w:t>
    </w:r>
    <w:r>
      <w:rPr>
        <w:rFonts w:ascii="Times New Roman" w:hAnsi="Times New Roman" w:cs="Times New Roman"/>
        <w:sz w:val="24"/>
        <w:szCs w:val="24"/>
      </w:rPr>
      <w:t xml:space="preserve">                                                                                       </w:t>
    </w:r>
    <w:r w:rsidRPr="002013A0">
      <w:rPr>
        <w:rFonts w:ascii="Times New Roman" w:hAnsi="Times New Roman" w:cs="Times New Roman"/>
        <w:sz w:val="24"/>
        <w:szCs w:val="24"/>
      </w:rPr>
      <w:t xml:space="preserve"> </w:t>
    </w:r>
    <w:sdt>
      <w:sdtPr>
        <w:rPr>
          <w:rFonts w:ascii="Times New Roman" w:hAnsi="Times New Roman" w:cs="Times New Roman"/>
          <w:sz w:val="24"/>
          <w:szCs w:val="24"/>
        </w:rPr>
        <w:id w:val="10137330"/>
        <w:docPartObj>
          <w:docPartGallery w:val="Page Numbers (Top of Page)"/>
          <w:docPartUnique/>
        </w:docPartObj>
      </w:sdtPr>
      <w:sdtEndPr/>
      <w:sdtContent>
        <w:r w:rsidRPr="002013A0">
          <w:rPr>
            <w:rFonts w:ascii="Times New Roman" w:hAnsi="Times New Roman" w:cs="Times New Roman"/>
            <w:sz w:val="24"/>
            <w:szCs w:val="24"/>
          </w:rPr>
          <w:fldChar w:fldCharType="begin"/>
        </w:r>
        <w:r w:rsidRPr="002013A0">
          <w:rPr>
            <w:rFonts w:ascii="Times New Roman" w:hAnsi="Times New Roman" w:cs="Times New Roman"/>
            <w:sz w:val="24"/>
            <w:szCs w:val="24"/>
          </w:rPr>
          <w:instrText xml:space="preserve"> PAGE   \* MERGEFORMAT </w:instrText>
        </w:r>
        <w:r w:rsidRPr="002013A0">
          <w:rPr>
            <w:rFonts w:ascii="Times New Roman" w:hAnsi="Times New Roman" w:cs="Times New Roman"/>
            <w:sz w:val="24"/>
            <w:szCs w:val="24"/>
          </w:rPr>
          <w:fldChar w:fldCharType="separate"/>
        </w:r>
        <w:r w:rsidR="002E0806">
          <w:rPr>
            <w:rFonts w:ascii="Times New Roman" w:hAnsi="Times New Roman" w:cs="Times New Roman"/>
            <w:noProof/>
            <w:sz w:val="24"/>
            <w:szCs w:val="24"/>
          </w:rPr>
          <w:t>1</w:t>
        </w:r>
        <w:r w:rsidRPr="002013A0">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BF662A"/>
    <w:multiLevelType w:val="hybridMultilevel"/>
    <w:tmpl w:val="8D9AB920"/>
    <w:lvl w:ilvl="0" w:tplc="AD449362">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26473E52"/>
    <w:multiLevelType w:val="multilevel"/>
    <w:tmpl w:val="28A0D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7961263"/>
    <w:multiLevelType w:val="multilevel"/>
    <w:tmpl w:val="13E0F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3B62F89"/>
    <w:multiLevelType w:val="hybridMultilevel"/>
    <w:tmpl w:val="91027EF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53E531B4"/>
    <w:multiLevelType w:val="multilevel"/>
    <w:tmpl w:val="39200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58B74A5"/>
    <w:multiLevelType w:val="multilevel"/>
    <w:tmpl w:val="5A4A2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DEB502D"/>
    <w:multiLevelType w:val="multilevel"/>
    <w:tmpl w:val="12FA4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9856F8"/>
    <w:multiLevelType w:val="multilevel"/>
    <w:tmpl w:val="75BE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1E11F4C"/>
    <w:multiLevelType w:val="multilevel"/>
    <w:tmpl w:val="B7364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7F96068"/>
    <w:multiLevelType w:val="hybridMultilevel"/>
    <w:tmpl w:val="62C6DC8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5"/>
  </w:num>
  <w:num w:numId="5">
    <w:abstractNumId w:val="7"/>
  </w:num>
  <w:num w:numId="6">
    <w:abstractNumId w:val="9"/>
  </w:num>
  <w:num w:numId="7">
    <w:abstractNumId w:val="0"/>
  </w:num>
  <w:num w:numId="8">
    <w:abstractNumId w:val="3"/>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A57"/>
    <w:rsid w:val="00006D6F"/>
    <w:rsid w:val="00010BF2"/>
    <w:rsid w:val="00032467"/>
    <w:rsid w:val="00033FEF"/>
    <w:rsid w:val="000461F5"/>
    <w:rsid w:val="00050C4C"/>
    <w:rsid w:val="000516B7"/>
    <w:rsid w:val="00051D89"/>
    <w:rsid w:val="0006617C"/>
    <w:rsid w:val="000700F4"/>
    <w:rsid w:val="0007593F"/>
    <w:rsid w:val="00082DEA"/>
    <w:rsid w:val="000A3132"/>
    <w:rsid w:val="000B561F"/>
    <w:rsid w:val="000C00C0"/>
    <w:rsid w:val="000C1905"/>
    <w:rsid w:val="000D2064"/>
    <w:rsid w:val="000D397F"/>
    <w:rsid w:val="000D537F"/>
    <w:rsid w:val="000D540A"/>
    <w:rsid w:val="000E13AF"/>
    <w:rsid w:val="000E4AC2"/>
    <w:rsid w:val="000E4C08"/>
    <w:rsid w:val="000F6884"/>
    <w:rsid w:val="001008BF"/>
    <w:rsid w:val="00133409"/>
    <w:rsid w:val="001617BA"/>
    <w:rsid w:val="001653B8"/>
    <w:rsid w:val="001738D2"/>
    <w:rsid w:val="00176B21"/>
    <w:rsid w:val="001875EE"/>
    <w:rsid w:val="0019286C"/>
    <w:rsid w:val="001B6D57"/>
    <w:rsid w:val="002013A0"/>
    <w:rsid w:val="00227032"/>
    <w:rsid w:val="00237A93"/>
    <w:rsid w:val="0024159D"/>
    <w:rsid w:val="00250F82"/>
    <w:rsid w:val="00252CDC"/>
    <w:rsid w:val="00260392"/>
    <w:rsid w:val="00265C0D"/>
    <w:rsid w:val="00277696"/>
    <w:rsid w:val="002979C4"/>
    <w:rsid w:val="002A33D9"/>
    <w:rsid w:val="002B1643"/>
    <w:rsid w:val="002B4AEA"/>
    <w:rsid w:val="002C10B3"/>
    <w:rsid w:val="002E0806"/>
    <w:rsid w:val="002E5C46"/>
    <w:rsid w:val="00302024"/>
    <w:rsid w:val="00352D49"/>
    <w:rsid w:val="00355F97"/>
    <w:rsid w:val="00375B9E"/>
    <w:rsid w:val="003C626E"/>
    <w:rsid w:val="003C6A79"/>
    <w:rsid w:val="003D0DF8"/>
    <w:rsid w:val="003F7FB4"/>
    <w:rsid w:val="00405403"/>
    <w:rsid w:val="00405B25"/>
    <w:rsid w:val="00412066"/>
    <w:rsid w:val="00435553"/>
    <w:rsid w:val="004423D9"/>
    <w:rsid w:val="00457DA3"/>
    <w:rsid w:val="004926C0"/>
    <w:rsid w:val="004934A7"/>
    <w:rsid w:val="004B70DB"/>
    <w:rsid w:val="004C143F"/>
    <w:rsid w:val="004F2CE9"/>
    <w:rsid w:val="004F35C1"/>
    <w:rsid w:val="00524372"/>
    <w:rsid w:val="00531660"/>
    <w:rsid w:val="00564465"/>
    <w:rsid w:val="005779F7"/>
    <w:rsid w:val="00580662"/>
    <w:rsid w:val="0058151C"/>
    <w:rsid w:val="005B30CC"/>
    <w:rsid w:val="005B75E5"/>
    <w:rsid w:val="005D0F84"/>
    <w:rsid w:val="005F5C70"/>
    <w:rsid w:val="006140B2"/>
    <w:rsid w:val="0061769E"/>
    <w:rsid w:val="0062453A"/>
    <w:rsid w:val="0062770E"/>
    <w:rsid w:val="006527F7"/>
    <w:rsid w:val="00673246"/>
    <w:rsid w:val="006845F3"/>
    <w:rsid w:val="006A7AF5"/>
    <w:rsid w:val="006B27E9"/>
    <w:rsid w:val="006D4B27"/>
    <w:rsid w:val="006D6586"/>
    <w:rsid w:val="0071284B"/>
    <w:rsid w:val="00724525"/>
    <w:rsid w:val="00731FC1"/>
    <w:rsid w:val="007543E6"/>
    <w:rsid w:val="007761C0"/>
    <w:rsid w:val="0079769C"/>
    <w:rsid w:val="007A4ED2"/>
    <w:rsid w:val="007A68A6"/>
    <w:rsid w:val="007C6840"/>
    <w:rsid w:val="007F1995"/>
    <w:rsid w:val="007F5B6A"/>
    <w:rsid w:val="008337A0"/>
    <w:rsid w:val="008405D2"/>
    <w:rsid w:val="00850244"/>
    <w:rsid w:val="00854CE6"/>
    <w:rsid w:val="008552E1"/>
    <w:rsid w:val="00855B9B"/>
    <w:rsid w:val="00893874"/>
    <w:rsid w:val="008A1825"/>
    <w:rsid w:val="008A6F44"/>
    <w:rsid w:val="008C00F5"/>
    <w:rsid w:val="008C1E77"/>
    <w:rsid w:val="008C3173"/>
    <w:rsid w:val="008D2E52"/>
    <w:rsid w:val="008E01A3"/>
    <w:rsid w:val="008F0AE3"/>
    <w:rsid w:val="008F62DB"/>
    <w:rsid w:val="00901066"/>
    <w:rsid w:val="00945E14"/>
    <w:rsid w:val="0095737A"/>
    <w:rsid w:val="00960C05"/>
    <w:rsid w:val="009865E2"/>
    <w:rsid w:val="00A20A66"/>
    <w:rsid w:val="00A450DC"/>
    <w:rsid w:val="00A5206C"/>
    <w:rsid w:val="00A82190"/>
    <w:rsid w:val="00A86229"/>
    <w:rsid w:val="00AA04FA"/>
    <w:rsid w:val="00AB59F5"/>
    <w:rsid w:val="00AC5598"/>
    <w:rsid w:val="00AF0F15"/>
    <w:rsid w:val="00B0087E"/>
    <w:rsid w:val="00B1320D"/>
    <w:rsid w:val="00B14FCB"/>
    <w:rsid w:val="00B749B6"/>
    <w:rsid w:val="00BA0895"/>
    <w:rsid w:val="00BD31A0"/>
    <w:rsid w:val="00BD3EFB"/>
    <w:rsid w:val="00BE1622"/>
    <w:rsid w:val="00BF0CA3"/>
    <w:rsid w:val="00C10CAD"/>
    <w:rsid w:val="00C26691"/>
    <w:rsid w:val="00C545C2"/>
    <w:rsid w:val="00C74421"/>
    <w:rsid w:val="00CA0E7E"/>
    <w:rsid w:val="00CA7CE0"/>
    <w:rsid w:val="00CD158C"/>
    <w:rsid w:val="00CF0991"/>
    <w:rsid w:val="00CF5051"/>
    <w:rsid w:val="00D00006"/>
    <w:rsid w:val="00D01C12"/>
    <w:rsid w:val="00D070EA"/>
    <w:rsid w:val="00D3392C"/>
    <w:rsid w:val="00D418F8"/>
    <w:rsid w:val="00D63431"/>
    <w:rsid w:val="00D804A9"/>
    <w:rsid w:val="00D80850"/>
    <w:rsid w:val="00D82426"/>
    <w:rsid w:val="00D873A8"/>
    <w:rsid w:val="00D9529F"/>
    <w:rsid w:val="00DA0F5E"/>
    <w:rsid w:val="00DA4117"/>
    <w:rsid w:val="00DB456D"/>
    <w:rsid w:val="00DD0398"/>
    <w:rsid w:val="00DE53F5"/>
    <w:rsid w:val="00E1211F"/>
    <w:rsid w:val="00E21644"/>
    <w:rsid w:val="00E250A1"/>
    <w:rsid w:val="00E2776F"/>
    <w:rsid w:val="00E734FD"/>
    <w:rsid w:val="00E947A5"/>
    <w:rsid w:val="00E95714"/>
    <w:rsid w:val="00EF3C99"/>
    <w:rsid w:val="00F05D8E"/>
    <w:rsid w:val="00F10CA5"/>
    <w:rsid w:val="00F254BD"/>
    <w:rsid w:val="00F613DA"/>
    <w:rsid w:val="00F61A57"/>
    <w:rsid w:val="00F743D5"/>
    <w:rsid w:val="00F74599"/>
    <w:rsid w:val="00F768B9"/>
    <w:rsid w:val="00F92E22"/>
    <w:rsid w:val="00FA074A"/>
    <w:rsid w:val="00FA15B1"/>
    <w:rsid w:val="00FA59F4"/>
    <w:rsid w:val="00FB0E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2695B8-2BA9-4729-8352-9EEFD7F0A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850"/>
  </w:style>
  <w:style w:type="paragraph" w:styleId="Heading3">
    <w:name w:val="heading 3"/>
    <w:basedOn w:val="Normal"/>
    <w:link w:val="Heading3Char"/>
    <w:uiPriority w:val="9"/>
    <w:qFormat/>
    <w:rsid w:val="000D397F"/>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A59F4"/>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FA59F4"/>
    <w:rPr>
      <w:b/>
      <w:bCs/>
    </w:rPr>
  </w:style>
  <w:style w:type="character" w:customStyle="1" w:styleId="Heading3Char">
    <w:name w:val="Heading 3 Char"/>
    <w:basedOn w:val="DefaultParagraphFont"/>
    <w:link w:val="Heading3"/>
    <w:uiPriority w:val="9"/>
    <w:rsid w:val="000D397F"/>
    <w:rPr>
      <w:rFonts w:ascii="Times New Roman" w:eastAsia="Times New Roman" w:hAnsi="Times New Roman" w:cs="Times New Roman"/>
      <w:b/>
      <w:bCs/>
      <w:sz w:val="27"/>
      <w:szCs w:val="27"/>
      <w:lang w:eastAsia="en-CA"/>
    </w:rPr>
  </w:style>
  <w:style w:type="character" w:styleId="Emphasis">
    <w:name w:val="Emphasis"/>
    <w:basedOn w:val="DefaultParagraphFont"/>
    <w:uiPriority w:val="20"/>
    <w:qFormat/>
    <w:rsid w:val="000D397F"/>
    <w:rPr>
      <w:i/>
      <w:iCs/>
    </w:rPr>
  </w:style>
  <w:style w:type="character" w:styleId="Hyperlink">
    <w:name w:val="Hyperlink"/>
    <w:basedOn w:val="DefaultParagraphFont"/>
    <w:uiPriority w:val="99"/>
    <w:unhideWhenUsed/>
    <w:rsid w:val="000D397F"/>
    <w:rPr>
      <w:color w:val="0000FF"/>
      <w:u w:val="single"/>
    </w:rPr>
  </w:style>
  <w:style w:type="paragraph" w:customStyle="1" w:styleId="p">
    <w:name w:val="p"/>
    <w:basedOn w:val="Normal"/>
    <w:rsid w:val="005F5C70"/>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4C143F"/>
    <w:pPr>
      <w:ind w:left="720"/>
      <w:contextualSpacing/>
    </w:pPr>
  </w:style>
  <w:style w:type="paragraph" w:styleId="Header">
    <w:name w:val="header"/>
    <w:basedOn w:val="Normal"/>
    <w:link w:val="HeaderChar"/>
    <w:uiPriority w:val="99"/>
    <w:unhideWhenUsed/>
    <w:rsid w:val="002013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3A0"/>
  </w:style>
  <w:style w:type="paragraph" w:styleId="Footer">
    <w:name w:val="footer"/>
    <w:basedOn w:val="Normal"/>
    <w:link w:val="FooterChar"/>
    <w:uiPriority w:val="99"/>
    <w:semiHidden/>
    <w:unhideWhenUsed/>
    <w:rsid w:val="002013A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1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955455">
      <w:bodyDiv w:val="1"/>
      <w:marLeft w:val="0"/>
      <w:marRight w:val="0"/>
      <w:marTop w:val="0"/>
      <w:marBottom w:val="0"/>
      <w:divBdr>
        <w:top w:val="none" w:sz="0" w:space="0" w:color="auto"/>
        <w:left w:val="none" w:sz="0" w:space="0" w:color="auto"/>
        <w:bottom w:val="none" w:sz="0" w:space="0" w:color="auto"/>
        <w:right w:val="none" w:sz="0" w:space="0" w:color="auto"/>
      </w:divBdr>
    </w:div>
    <w:div w:id="1143961296">
      <w:bodyDiv w:val="1"/>
      <w:marLeft w:val="0"/>
      <w:marRight w:val="0"/>
      <w:marTop w:val="0"/>
      <w:marBottom w:val="0"/>
      <w:divBdr>
        <w:top w:val="none" w:sz="0" w:space="0" w:color="auto"/>
        <w:left w:val="none" w:sz="0" w:space="0" w:color="auto"/>
        <w:bottom w:val="none" w:sz="0" w:space="0" w:color="auto"/>
        <w:right w:val="none" w:sz="0" w:space="0" w:color="auto"/>
      </w:divBdr>
    </w:div>
    <w:div w:id="1196188687">
      <w:bodyDiv w:val="1"/>
      <w:marLeft w:val="0"/>
      <w:marRight w:val="0"/>
      <w:marTop w:val="0"/>
      <w:marBottom w:val="0"/>
      <w:divBdr>
        <w:top w:val="none" w:sz="0" w:space="0" w:color="auto"/>
        <w:left w:val="none" w:sz="0" w:space="0" w:color="auto"/>
        <w:bottom w:val="none" w:sz="0" w:space="0" w:color="auto"/>
        <w:right w:val="none" w:sz="0" w:space="0" w:color="auto"/>
      </w:divBdr>
    </w:div>
    <w:div w:id="1222255870">
      <w:bodyDiv w:val="1"/>
      <w:marLeft w:val="0"/>
      <w:marRight w:val="0"/>
      <w:marTop w:val="0"/>
      <w:marBottom w:val="0"/>
      <w:divBdr>
        <w:top w:val="none" w:sz="0" w:space="0" w:color="auto"/>
        <w:left w:val="none" w:sz="0" w:space="0" w:color="auto"/>
        <w:bottom w:val="none" w:sz="0" w:space="0" w:color="auto"/>
        <w:right w:val="none" w:sz="0" w:space="0" w:color="auto"/>
      </w:divBdr>
    </w:div>
    <w:div w:id="1463884716">
      <w:bodyDiv w:val="1"/>
      <w:marLeft w:val="0"/>
      <w:marRight w:val="0"/>
      <w:marTop w:val="0"/>
      <w:marBottom w:val="0"/>
      <w:divBdr>
        <w:top w:val="none" w:sz="0" w:space="0" w:color="auto"/>
        <w:left w:val="none" w:sz="0" w:space="0" w:color="auto"/>
        <w:bottom w:val="none" w:sz="0" w:space="0" w:color="auto"/>
        <w:right w:val="none" w:sz="0" w:space="0" w:color="auto"/>
      </w:divBdr>
    </w:div>
    <w:div w:id="1550612168">
      <w:bodyDiv w:val="1"/>
      <w:marLeft w:val="0"/>
      <w:marRight w:val="0"/>
      <w:marTop w:val="0"/>
      <w:marBottom w:val="0"/>
      <w:divBdr>
        <w:top w:val="none" w:sz="0" w:space="0" w:color="auto"/>
        <w:left w:val="none" w:sz="0" w:space="0" w:color="auto"/>
        <w:bottom w:val="none" w:sz="0" w:space="0" w:color="auto"/>
        <w:right w:val="none" w:sz="0" w:space="0" w:color="auto"/>
      </w:divBdr>
    </w:div>
    <w:div w:id="1664116302">
      <w:bodyDiv w:val="1"/>
      <w:marLeft w:val="0"/>
      <w:marRight w:val="0"/>
      <w:marTop w:val="0"/>
      <w:marBottom w:val="0"/>
      <w:divBdr>
        <w:top w:val="none" w:sz="0" w:space="0" w:color="auto"/>
        <w:left w:val="none" w:sz="0" w:space="0" w:color="auto"/>
        <w:bottom w:val="none" w:sz="0" w:space="0" w:color="auto"/>
        <w:right w:val="none" w:sz="0" w:space="0" w:color="auto"/>
      </w:divBdr>
    </w:div>
    <w:div w:id="1922980175">
      <w:bodyDiv w:val="1"/>
      <w:marLeft w:val="0"/>
      <w:marRight w:val="0"/>
      <w:marTop w:val="0"/>
      <w:marBottom w:val="0"/>
      <w:divBdr>
        <w:top w:val="none" w:sz="0" w:space="0" w:color="auto"/>
        <w:left w:val="none" w:sz="0" w:space="0" w:color="auto"/>
        <w:bottom w:val="none" w:sz="0" w:space="0" w:color="auto"/>
        <w:right w:val="none" w:sz="0" w:space="0" w:color="auto"/>
      </w:divBdr>
    </w:div>
    <w:div w:id="1978682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2533</Words>
  <Characters>14442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2019-12-05T13:34:00Z</dcterms:created>
  <dcterms:modified xsi:type="dcterms:W3CDTF">2019-12-05T13:34:00Z</dcterms:modified>
</cp:coreProperties>
</file>